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6ΓΤΨ46ΜΠ3Ζ-ΑΟΡ</w:t>
      </w:r>
    </w:p>
    <w:p>
      <w:pPr>
        <w:pStyle w:val="Title"/>
        <w:spacing w:before="120" w:after="360"/>
        <w:rPr>
          <w:lang w:val="el" w:eastAsia="el"/>
        </w:rPr>
      </w:pPr>
      <w:r>
        <w:rPr>
          <w:b/>
          <w:bCs/>
          <w:lang w:val="el" w:eastAsia="el"/>
        </w:rPr>
        <w:t>ΑΡΙΘ. ΦΕΚ: Β΄4352/16.8.202</w:t>
      </w:r>
    </w:p>
    <w:p>
      <w:pPr>
        <w:pStyle w:val="Title"/>
        <w:spacing w:before="120" w:after="360"/>
        <w:rPr>
          <w:lang w:val="el" w:eastAsia="el"/>
        </w:rPr>
      </w:pPr>
      <w:r>
        <w:rPr>
          <w:lang w:val="el" w:eastAsia="el"/>
        </w:rPr>
        <w:t xml:space="preserve">1. </w:t>
      </w:r>
      <w:r>
        <w:rPr>
          <w:b/>
          <w:bCs/>
          <w:lang w:val="el" w:eastAsia="el"/>
        </w:rPr>
        <w:t>α) τη παρ. 4 του άρθρου 15 του ν.4174/2013 «Φορολογικές διαδικασίες και άλλες διατάξεις» (Α΄ 170) περί παροχής πληροφοριών από τρίτους,</w:t>
      </w:r>
    </w:p>
    <w:p>
      <w:pPr>
        <w:pStyle w:val="StructureList1"/>
        <w:spacing w:before="120" w:after="0"/>
        <w:rPr>
          <w:lang w:val="el" w:eastAsia="el"/>
        </w:rPr>
      </w:pPr>
      <w:r>
        <w:rPr>
          <w:lang w:val="el" w:eastAsia="el"/>
        </w:rPr>
        <w:t>β)</w:t>
      </w:r>
      <w:r>
        <w:rPr>
          <w:lang w:val="en" w:eastAsia="en"/>
        </w:rPr>
        <w:tab/>
      </w:r>
      <w:r>
        <w:rPr>
          <w:b/>
          <w:bCs/>
          <w:lang w:val="el" w:eastAsia="el"/>
        </w:rPr>
        <w:t>το Κεφ.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pStyle w:val="Title"/>
        <w:spacing w:before="120" w:after="360"/>
        <w:rPr>
          <w:lang w:val="el" w:eastAsia="el"/>
        </w:rPr>
      </w:pPr>
      <w:r>
        <w:rPr>
          <w:lang w:val="el" w:eastAsia="el"/>
        </w:rPr>
        <w:t xml:space="preserve">2.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39/3/30.11.2017(Υ.Ο.Δ.Δ. 689) του Συμβουλίου Διοίκησης της ΑΑΔΕ και υπό στοιχεία 5294 ΕΞ 2020/17.1.2020 (Υ.Ο.Δ.Δ. 27) του Υπουργού Οικονομικών με θέμα «Ανανέωση της θητείας του Διοικητή της Α.Α.Δ.Ε».</w:t>
      </w:r>
    </w:p>
    <w:p>
      <w:pPr>
        <w:pStyle w:val="Title"/>
        <w:spacing w:before="120" w:after="360"/>
        <w:rPr>
          <w:lang w:val="el" w:eastAsia="el"/>
        </w:rPr>
      </w:pPr>
      <w:r>
        <w:rPr>
          <w:lang w:val="el" w:eastAsia="el"/>
        </w:rPr>
        <w:t xml:space="preserve">3. </w:t>
      </w:r>
      <w:r>
        <w:rPr>
          <w:b/>
          <w:bCs/>
          <w:lang w:val="el" w:eastAsia="el"/>
        </w:rPr>
        <w:t>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ισχύει μετά την τροποποίησή της με τις υπό στοιχεία Α.1139/2020 (Β΄2269), Α.1243/2020 (Β΄4914), Α.1253/2020 (Β΄ 5180), Α. 1050/2021 (Β΄ 956), Α.1158/2021 (Β΄2974), Α.1170/2021 (Β’ 3548), Α.1255/2021 (Β΄6053) και Α.1091/2022 (Β΄3604) αποφάσεις του Διοικητή της ΑΑΔΕ.</w:t>
      </w:r>
    </w:p>
    <w:p>
      <w:pPr>
        <w:pStyle w:val="Title"/>
        <w:spacing w:before="120" w:after="360"/>
        <w:rPr>
          <w:lang w:val="el" w:eastAsia="el"/>
        </w:rPr>
      </w:pPr>
      <w:r>
        <w:rPr>
          <w:lang w:val="el" w:eastAsia="el"/>
        </w:rPr>
        <w:t xml:space="preserve">4. </w:t>
      </w:r>
      <w:r>
        <w:rPr>
          <w:b/>
          <w:bCs/>
          <w:lang w:val="el" w:eastAsia="el"/>
        </w:rPr>
        <w:t>Την ανάγκη διευκόλυνσης των υπόχρεων για υποβολή της «Δήλωσης Πληροφοριακών Στοιχείων Μίσθωσης Ακίνητης Περιουσίας» και της δήλωσης λύσης της μίσθωσης.</w:t>
      </w:r>
    </w:p>
    <w:p>
      <w:pPr>
        <w:pStyle w:val="Title"/>
        <w:spacing w:before="120" w:after="36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1 του άρθρου 1 της υπό στοιχεία ΠΟΛ. 1162/2018 απόφασης του Διοικητή της Α.Α.Δ.Ε. (Β΄ 3579) αντικαθίσταται ως εξής:</w:t>
      </w:r>
    </w:p>
    <w:p>
      <w:pPr>
        <w:spacing w:before="240" w:after="240"/>
        <w:rPr>
          <w:lang w:val="el" w:eastAsia="el"/>
        </w:rPr>
      </w:pPr>
      <w:r>
        <w:rPr>
          <w:lang w:val="el" w:eastAsia="el"/>
        </w:rPr>
        <w:t xml:space="preserve">«1 </w:t>
      </w:r>
      <w:r>
        <w:rPr>
          <w:b/>
          <w:bCs/>
          <w:lang w:val="el" w:eastAsia="el"/>
        </w:rPr>
        <w:t>. α) Οι εκμισθωτές ακίνητης περιουσίας υποχρεούνται να δηλώνουν όλα τα πληροφοριακά στοιχεία των αρχικών ή τροποποιητικών μισθώσεων, μέχρι το τέλος του επόμενου μήνα από την έναρξη της μίσθωσης ή την ημερομηνία που λαμβάνει χώρα η τροποποίησή της, ανεξάρτητα αν πρόκειται για γραπτή ή προφορική συμφωνία. Σε περίπτωση λύσης της 2</w:t>
      </w:r>
    </w:p>
    <w:p>
      <w:pPr>
        <w:spacing w:before="240" w:after="240"/>
        <w:rPr>
          <w:lang w:val="el" w:eastAsia="el"/>
        </w:rPr>
      </w:pPr>
      <w:r>
        <w:rPr>
          <w:b/>
          <w:bCs/>
          <w:lang w:val="el" w:eastAsia="el"/>
        </w:rPr>
        <w:t>μίσθωσης, ο εκμισθωτής υποχρεούται να δηλώνει τη λύση αυτής μέχρι το τέλος του επόμενου μήνα από τη λύση της, διαφορετικά η συμφωνία της μίσθωσης θεωρείται ότι είναι σε ισχύ.</w:t>
      </w:r>
    </w:p>
    <w:p>
      <w:pPr>
        <w:spacing w:before="240" w:after="240"/>
        <w:rPr>
          <w:lang w:val="el" w:eastAsia="el"/>
        </w:rPr>
      </w:pPr>
      <w:r>
        <w:rPr>
          <w:b/>
          <w:bCs/>
          <w:lang w:val="el" w:eastAsia="el"/>
        </w:rPr>
        <w:t>β) Η «Δήλωση Πληροφοριακών Στοιχείων Μίσθωσης Ακίνητης Περιουσίας», η οποία υποβάλλεται λόγω τροποποίησης των όρων της μίσθωσης με βάση διάταξη νόμου ή δικαστική απόφαση, υποβάλλεται εμπρόθεσμα μέχρι το τέλος του επόμενου μήνα από τη δημοσίευση του νόμου ή την κοινοποίηση της απόφασης αντίστοιχα. Τα ανωτέρω εφαρμόζονται ανάλογα και στην περίπτωση λύσης της μίσθωσης με βάση νόμο ή δικαστική απόφαση.».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Στο πρώτο εδάφιο της παρ.1 του άρθρου 6 της υπό στοιχεία ΠΟΛ. 1162/2018 απόφασης του Διοικητή της Α.Α.Δ.Ε. (Β΄ 3579) μετά τις λέξεις «ακίνητης περιουσίας» προστίθενται οι λέξεις «και για τη δήλωση λύσης της μίσθωσης» και η παρ. 1 διαμορφώνεται ως εξής:</w:t>
      </w:r>
    </w:p>
    <w:p>
      <w:pPr>
        <w:spacing w:before="240" w:after="240"/>
        <w:rPr>
          <w:lang w:val="el" w:eastAsia="el"/>
        </w:rPr>
      </w:pPr>
      <w:r>
        <w:rPr>
          <w:lang w:val="el" w:eastAsia="el"/>
        </w:rPr>
        <w:t xml:space="preserve">«1 </w:t>
      </w:r>
      <w:r>
        <w:rPr>
          <w:b/>
          <w:bCs/>
          <w:lang w:val="el" w:eastAsia="el"/>
        </w:rPr>
        <w:t>. Όσα ανωτέρω αναφέρονται για την υποβολή πληροφοριακών στοιχείων μίσθωσης ακίνητης περιουσίας και για τη δήλωση λύσης της μίσθωσης εφαρμόζονται ανάλογα και στις περιπτώσεις υπεκμίσθωσης αυτής, περιλαμβανομένης και της υπεκμίσθωσης ακινήτων όπου παραχωρείται το δικαίωμα υπεκμίσθωσης με σκοπό τη βραχυχρόνια μίσθωση με βάση τις διατάξεις του</w:t>
      </w:r>
      <w:r>
        <w:rPr>
          <w:rStyle w:val="link"/>
          <w:b/>
          <w:bCs/>
          <w:lang w:val="el" w:eastAsia="el"/>
        </w:rPr>
        <w:t xml:space="preserve">άρθρου </w:t>
      </w:r>
      <w:r>
        <w:rPr>
          <w:rStyle w:val="link"/>
          <w:b/>
          <w:bCs/>
          <w:lang w:val="el" w:eastAsia="el"/>
        </w:rPr>
        <w:t xml:space="preserve">111 </w:t>
      </w:r>
      <w:r>
        <w:rPr>
          <w:b/>
          <w:bCs/>
          <w:lang w:val="el" w:eastAsia="el"/>
        </w:rPr>
        <w:t>του ν</w:t>
      </w:r>
      <w:r>
        <w:rPr>
          <w:rStyle w:val="link"/>
          <w:b/>
          <w:bCs/>
          <w:lang w:val="el" w:eastAsia="el"/>
        </w:rPr>
        <w:t>4446/2016</w:t>
      </w:r>
      <w:r>
        <w:rPr>
          <w:rStyle w:val="link"/>
          <w:b/>
          <w:bCs/>
          <w:lang w:val="el" w:eastAsia="el"/>
        </w:rPr>
        <w:t>.</w:t>
      </w:r>
    </w:p>
    <w:p>
      <w:pPr>
        <w:spacing w:before="240" w:after="240"/>
        <w:rPr>
          <w:lang w:val="el" w:eastAsia="el"/>
        </w:rPr>
      </w:pPr>
      <w:r>
        <w:rPr>
          <w:b/>
          <w:bCs/>
          <w:lang w:val="el" w:eastAsia="el"/>
        </w:rPr>
        <w:t>Επίσης εφαρμόζονται στην περίπτωση παραχώρησης χρήσης ακίνητης περιουσίας (δωρεάν παραχώρηση) με εξαίρεση τα πρόσωπα που απαλλάσσονται του φόρου σύμφωνα με τις διατάξεις της</w:t>
      </w:r>
      <w:r>
        <w:rPr>
          <w:rStyle w:val="link"/>
          <w:b/>
          <w:bCs/>
          <w:lang w:val="el" w:eastAsia="el"/>
        </w:rPr>
        <w:t xml:space="preserve"> παραγράφου </w:t>
      </w:r>
      <w:r>
        <w:rPr>
          <w:rStyle w:val="link"/>
          <w:b/>
          <w:bCs/>
          <w:lang w:val="el" w:eastAsia="el"/>
        </w:rPr>
        <w:t xml:space="preserve">2 </w:t>
      </w:r>
      <w:r>
        <w:rPr>
          <w:rStyle w:val="link"/>
          <w:b/>
          <w:bCs/>
          <w:lang w:val="el" w:eastAsia="el"/>
        </w:rPr>
        <w:t xml:space="preserve">του άρθρου </w:t>
      </w:r>
      <w:r>
        <w:rPr>
          <w:rStyle w:val="link"/>
          <w:b/>
          <w:bCs/>
          <w:lang w:val="el" w:eastAsia="el"/>
        </w:rPr>
        <w:t xml:space="preserve">39 </w:t>
      </w:r>
      <w:r>
        <w:rPr>
          <w:b/>
          <w:bCs/>
          <w:lang w:val="el" w:eastAsia="el"/>
        </w:rPr>
        <w:t>του ν</w:t>
      </w:r>
      <w:r>
        <w:rPr>
          <w:rStyle w:val="link"/>
          <w:b/>
          <w:bCs/>
          <w:lang w:val="el" w:eastAsia="el"/>
        </w:rPr>
        <w:t xml:space="preserve">4172/2013 </w:t>
      </w:r>
      <w:r>
        <w:rPr>
          <w:b/>
          <w:bCs/>
          <w:lang w:val="el" w:eastAsia="el"/>
        </w:rPr>
        <w:t>(Α' 167).».</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Η παρ. 8 του άρθρου 11 της υπό στοιχεία ΠΟΛ. 1162/2018 απόφασης του Διοικητή της</w:t>
      </w:r>
    </w:p>
    <w:p>
      <w:pPr>
        <w:spacing w:before="240" w:after="240"/>
        <w:rPr>
          <w:lang w:val="el" w:eastAsia="el"/>
        </w:rPr>
      </w:pPr>
      <w:r>
        <w:rPr>
          <w:b/>
          <w:bCs/>
          <w:lang w:val="el" w:eastAsia="el"/>
        </w:rPr>
        <w:t>Α.Α.Δ.Ε. (Β΄ 3579) αντικαθίσταται ως εξής:</w:t>
      </w:r>
    </w:p>
    <w:p>
      <w:pPr>
        <w:spacing w:before="240" w:after="240"/>
        <w:rPr>
          <w:lang w:val="el" w:eastAsia="el"/>
        </w:rPr>
      </w:pPr>
      <w:r>
        <w:rPr>
          <w:b/>
          <w:bCs/>
          <w:lang w:val="el" w:eastAsia="el"/>
        </w:rPr>
        <w:t xml:space="preserve">«8 </w:t>
      </w:r>
      <w:r>
        <w:rPr>
          <w:b/>
          <w:bCs/>
          <w:lang w:val="el" w:eastAsia="el"/>
        </w:rPr>
        <w:t>. Οι εκμισθωτές/υπεκμισθωτές που λαμβάνουν ειδοποίηση από τη Φορολογική Διοίκηση για υποβολή της «Δήλωσης Covid» ή και της «Δήλωσης Πληροφοριακών Στοιχείων Μίσθωσης Ακίνητης Περιουσίας» προκειμένου να διορθώσουν λάθη ή παραλείψεις τους, υποβάλλουν τις εν λόγω δηλώσεις εντός δεκαπέντε (15) ημερών από τη λήψη της ειδοποίησης.».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Μετά την παρ.5 του άρθρου 12 της υπό στοιχεία ΠΟΛ. 1162/2018 απόφασης του Διοικητή της Α.Α.Δ.Ε. (Β΄ 3579) προστίθεται νέα παρ. 6 ως εξής:</w:t>
      </w:r>
    </w:p>
    <w:p>
      <w:pPr>
        <w:spacing w:before="240" w:after="240"/>
        <w:rPr>
          <w:lang w:val="el" w:eastAsia="el"/>
        </w:rPr>
      </w:pPr>
      <w:r>
        <w:rPr>
          <w:b/>
          <w:bCs/>
          <w:lang w:val="el" w:eastAsia="el"/>
        </w:rPr>
        <w:t xml:space="preserve">«6 </w:t>
      </w:r>
      <w:r>
        <w:rPr>
          <w:b/>
          <w:bCs/>
          <w:lang w:val="el" w:eastAsia="el"/>
        </w:rPr>
        <w:t>. Ειδικά η «Δήλωση Πληροφοριακών Στοιχείων Μίσθωσης Ακίνητης Περιουσίας» λόγω τροποποίησης του ύψους του μισθώματος σε εμπορικές και επαγγελματικές μισθώσεις για το έτος 2022 με βάση τις διατάξεις του άρθρου 121 του ν.4926/2022, υποβάλλεται εμπρόθεσμα από τη δημοσίευση του νόμου αυτού μέχρι και την 30ή Νοεμβρίου 2022. ».</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απόφαση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Β΄ (εκτός των αριθ.1 και 2 αυτού), Ζ΄, Η΄, Θ΄, Ι΄, ΙΑ΄ (εκτός των αριθ.1 και</w:t>
      </w:r>
    </w:p>
    <w:p>
      <w:pPr>
        <w:spacing w:before="240" w:after="240"/>
        <w:rPr>
          <w:lang w:val="el" w:eastAsia="el"/>
        </w:rPr>
      </w:pPr>
      <w:r>
        <w:rPr>
          <w:b/>
          <w:bCs/>
          <w:lang w:val="el" w:eastAsia="el"/>
        </w:rPr>
        <w:t>4 αυτού), ΙΕ΄, ΙΣΤ΄, ΙΗ΄, και ΚΑ΄</w:t>
      </w:r>
    </w:p>
    <w:p>
      <w:pPr>
        <w:spacing w:before="240" w:after="240"/>
        <w:rPr>
          <w:lang w:val="el" w:eastAsia="el"/>
        </w:rPr>
      </w:pPr>
      <w:r>
        <w:rPr>
          <w:b/>
          <w:bCs/>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6. </w:t>
      </w:r>
      <w:r>
        <w:rPr>
          <w:b/>
          <w:bCs/>
          <w:lang w:val="el" w:eastAsia="el"/>
        </w:rPr>
        <w:t>Υπουργείο Ανάπτυξης και Επενδύσεων, Γενική Γραμματεία Εμπορίου &amp; Προστασίας</w:t>
      </w:r>
    </w:p>
    <w:p>
      <w:pPr>
        <w:spacing w:before="240" w:after="240"/>
        <w:rPr>
          <w:lang w:val="el" w:eastAsia="el"/>
        </w:rPr>
      </w:pPr>
      <w:r>
        <w:rPr>
          <w:b/>
          <w:bCs/>
          <w:lang w:val="el" w:eastAsia="el"/>
        </w:rPr>
        <w:t>Καταναλωτή, Γενική Δ/νση Αγοράς, Δ/νση Εταιρειών, Πλ.Κάνιγγος,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b/>
          <w:bCs/>
          <w:lang w:val="el" w:eastAsia="el"/>
        </w:rPr>
        <w:t xml:space="preserve">3. </w:t>
      </w:r>
      <w:r>
        <w:rPr>
          <w:b/>
          <w:bCs/>
          <w:lang w:val="el" w:eastAsia="el"/>
        </w:rPr>
        <w:t>Γραφεία Γενικών Δ/ντών</w:t>
      </w:r>
    </w:p>
    <w:p>
      <w:pPr>
        <w:spacing w:before="240" w:after="240"/>
        <w:rPr>
          <w:lang w:val="el" w:eastAsia="el"/>
        </w:rPr>
      </w:pPr>
      <w:r>
        <w:rPr>
          <w:b/>
          <w:bCs/>
          <w:lang w:val="el" w:eastAsia="el"/>
        </w:rPr>
        <w:t xml:space="preserve">4. </w:t>
      </w:r>
      <w:r>
        <w:rPr>
          <w:b/>
          <w:bCs/>
          <w:lang w:val="el" w:eastAsia="el"/>
        </w:rPr>
        <w:t>Δ/νση Εφαρμογής Άμεσης Φορολογίας - Τμήματα Α΄ - Β΄</w:t>
      </w:r>
    </w:p>
    <w:p>
      <w:pPr>
        <w:spacing w:before="240" w:after="240"/>
        <w:rPr>
          <w:lang w:val="el" w:eastAsia="el"/>
        </w:rPr>
      </w:pPr>
      <w:r>
        <w:rPr>
          <w:b/>
          <w:bCs/>
          <w:lang w:val="el" w:eastAsia="el"/>
        </w:rPr>
        <w:t xml:space="preserve">5. </w:t>
      </w:r>
      <w:r>
        <w:rPr>
          <w:b/>
          <w:bCs/>
          <w:lang w:val="el" w:eastAsia="el"/>
        </w:rPr>
        <w:t>Δ/νση Νομικής Υποστήριξης της Α.Α.Δ.Ε.</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