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264040/Δ.Α.Ε.Φ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κτήρια από την πυρκαγιά της 12ης Αυγούστου 2022 σε περιοχή του Δήμου Φυλής της Περιφερειακής Ενότητας Δυτικής Αττικής της Περιφέρειας Αττικής.</w:t>
      </w:r>
    </w:p>
    <w:p>
      <w:pPr>
        <w:spacing w:before="240" w:after="240"/>
        <w:rPr>
          <w:lang w:val="el" w:eastAsia="el"/>
        </w:rPr>
      </w:pPr>
      <w:r>
        <w:rPr>
          <w:b/>
          <w:bCs/>
          <w:lang w:val="el" w:eastAsia="el"/>
        </w:rPr>
        <w:t>ΟΙ ΥΠΟΥΡΓΟΙ ΟΙΚΟΝΟΜΙΚΩΝ - ΑΝΑΠΤΥΞΗΣ KAI ΕΠΕΝΔΥΣΕΩΝ - ΕΣΩΤΕΡΙΚΩΝ - ΥΠΟΔΟΜΩΝ KAI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άρθρoυ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 2607).</w:t>
      </w:r>
    </w:p>
    <w:p>
      <w:pPr>
        <w:spacing w:before="240" w:after="240"/>
        <w:rPr>
          <w:lang w:val="el" w:eastAsia="el"/>
        </w:rPr>
      </w:pPr>
      <w:r>
        <w:rPr>
          <w:lang w:val="el" w:eastAsia="el"/>
        </w:rPr>
        <w:t>18. Του π.δ. 68/2021 «Διορισμός Υπουργών, Αναπληρώτριας Υπουργού και Υφυπουργών» (Α’ 155).</w:t>
      </w:r>
    </w:p>
    <w:p>
      <w:pPr>
        <w:spacing w:before="240" w:after="240"/>
        <w:rPr>
          <w:lang w:val="el" w:eastAsia="el"/>
        </w:rPr>
      </w:pPr>
      <w:r>
        <w:rPr>
          <w:lang w:val="el" w:eastAsia="el"/>
        </w:rPr>
        <w:t>19. Της υπό στοιχεία 312/20.09.21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21. Της υπό στοιχεία 50148/542/24.06.1992 κοινής απόφασης των Υπουργών Εθν.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οικ.617/ΓΔζ1/24.07.2018 (Β’ 3019) απόφασης του Υπουργού Υποδομών και Μεταφορών για τη σύσταση Τομέων Αποκατάστασης Επιπτώσεων Φυσικών Καταστροφών.</w:t>
      </w:r>
    </w:p>
    <w:p>
      <w:pPr>
        <w:spacing w:before="240" w:after="240"/>
        <w:rPr>
          <w:lang w:val="el" w:eastAsia="el"/>
        </w:rPr>
      </w:pPr>
      <w:r>
        <w:rPr>
          <w:lang w:val="el" w:eastAsia="el"/>
        </w:rPr>
        <w:t>23.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 4776, διόρθωση σφάλματος Β’ 5988) και οικ.907/Δ5/03.02.2020 (Β’ 434) αποφάσεις του Υπουργού Υποδομών και Μεταφορών.</w:t>
      </w:r>
    </w:p>
    <w:p>
      <w:pPr>
        <w:spacing w:before="240" w:after="240"/>
        <w:rPr>
          <w:lang w:val="el" w:eastAsia="el"/>
        </w:rPr>
      </w:pPr>
      <w:r>
        <w:rPr>
          <w:lang w:val="el" w:eastAsia="el"/>
        </w:rPr>
        <w:t>24. Της υπό στοιχεία οικ. 5364/Δ/Β11/04.12.2015 απόφασης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25. Της υπό στοιχεία οικ. 12741/Α321/19.07.2021 (Β’ 3264) απόφασης Υπουργού Υ.ΜΕ.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w:t>
      </w:r>
    </w:p>
    <w:p>
      <w:pPr>
        <w:spacing w:before="240" w:after="240"/>
        <w:rPr>
          <w:lang w:val="el" w:eastAsia="el"/>
        </w:rPr>
      </w:pPr>
      <w:r>
        <w:rPr>
          <w:lang w:val="el" w:eastAsia="el"/>
        </w:rPr>
        <w:t>26.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του άρθρου 50.</w:t>
      </w:r>
    </w:p>
    <w:p>
      <w:pPr>
        <w:spacing w:before="240" w:after="240"/>
        <w:rPr>
          <w:lang w:val="el" w:eastAsia="el"/>
        </w:rPr>
      </w:pPr>
      <w:r>
        <w:rPr>
          <w:lang w:val="el" w:eastAsia="el"/>
        </w:rPr>
        <w:t>27.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του άρθρου 30.</w:t>
      </w:r>
    </w:p>
    <w:p>
      <w:pPr>
        <w:spacing w:before="240" w:after="240"/>
        <w:rPr>
          <w:lang w:val="el" w:eastAsia="el"/>
        </w:rPr>
      </w:pPr>
      <w:r>
        <w:rPr>
          <w:lang w:val="el" w:eastAsia="el"/>
        </w:rPr>
        <w:t>28.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του άρθρου 44.</w:t>
      </w:r>
    </w:p>
    <w:p>
      <w:pPr>
        <w:spacing w:before="240" w:after="240"/>
        <w:rPr>
          <w:lang w:val="el" w:eastAsia="el"/>
        </w:rPr>
      </w:pPr>
      <w:r>
        <w:rPr>
          <w:lang w:val="el" w:eastAsia="el"/>
        </w:rPr>
        <w:t>29.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30.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30.929 €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3.840 €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780606/21.09.2021 έγγραφο του Τμήματος Πολιτικής Προστασίας Περιφερειακής Ενότητας Δυτικής Αττικής της Αυτοτελούς Διεύθυνσης Πολιτικής Προστασίας της Περιφέρειας Αττικής με θέμα:</w:t>
      </w:r>
    </w:p>
    <w:p>
      <w:pPr>
        <w:spacing w:before="240" w:after="240"/>
        <w:rPr>
          <w:lang w:val="el" w:eastAsia="el"/>
        </w:rPr>
      </w:pPr>
      <w:r>
        <w:rPr>
          <w:lang w:val="el" w:eastAsia="el"/>
        </w:rPr>
        <w:t>«Αίτημα οριοθέτησης του Δημοτικού Διαμερίσματος (Δ.Δ.) Φυλής Δήμου Φυλής της Περιφερειακής Ενότητας Δυτικής Αττικής, εξαιτίας της πυρκαγιάς στις 12 Αυγούστου 2021» με το συνημμένο του.</w:t>
      </w:r>
    </w:p>
    <w:p>
      <w:pPr>
        <w:spacing w:before="240" w:after="240"/>
        <w:rPr>
          <w:lang w:val="el" w:eastAsia="el"/>
        </w:rPr>
      </w:pPr>
      <w:r>
        <w:rPr>
          <w:lang w:val="el" w:eastAsia="el"/>
        </w:rPr>
        <w:t>2. Το υπ’ αρ. 883396/20.10.2021 έγγραφο του Τμήματος Πολιτικής Προστασίας Περιφερειακής Ενότητας Δυτικής Αττικής της Αυτοτελούς Διεύθυνσης Πολιτικής Προστασίας της Περιφέρειας Αττικής με θέμα:</w:t>
      </w:r>
    </w:p>
    <w:p>
      <w:pPr>
        <w:spacing w:before="240" w:after="240"/>
        <w:rPr>
          <w:lang w:val="el" w:eastAsia="el"/>
        </w:rPr>
      </w:pPr>
      <w:r>
        <w:rPr>
          <w:lang w:val="el" w:eastAsia="el"/>
        </w:rPr>
        <w:t>«Αίτημα οριοθέτησης του Δημοτικού Διαμερίσματος (Δ.Δ.) Φυλής Δήμου Φυλής της Περιφερειακής Ενότητας Δυτικής Αττικής, εξαιτίας της πυρκαγιάς στις 12 Αυγούστου 2021» με το συνημμένο του σύμφωνα με το οποίο μας ενημερώνουν ότι δεν προέκυψαν ζημιές σε κατοικίες και επιχειρήσεις, εξαιτίας της πυρκαγιάς στις 12 Αυγούστου 2021.</w:t>
      </w:r>
    </w:p>
    <w:p>
      <w:pPr>
        <w:spacing w:before="240" w:after="240"/>
        <w:rPr>
          <w:lang w:val="el" w:eastAsia="el"/>
        </w:rPr>
      </w:pPr>
      <w:r>
        <w:rPr>
          <w:lang w:val="el" w:eastAsia="el"/>
        </w:rPr>
        <w:t>3. Το από 19.04.21 ηλεκτρονικό μήνυμα του Τμήματος Πολιτικής Προστασίας με θέμα «Παροχή Διευκρινήσεων 1 από 2» με τα συνημμένα του.</w:t>
      </w:r>
    </w:p>
    <w:p>
      <w:pPr>
        <w:spacing w:before="240" w:after="240"/>
        <w:rPr>
          <w:lang w:val="el" w:eastAsia="el"/>
        </w:rPr>
      </w:pPr>
      <w:r>
        <w:rPr>
          <w:lang w:val="el" w:eastAsia="el"/>
        </w:rPr>
        <w:t>4. Το από 19.04.21 ηλεκτρονικό μήνυμα του Τμήματος Πολιτικής Προστασίας με θέμα «Παροχή Διευκρινήσεων 2 από 2» με τα συνημμένα του.</w:t>
      </w:r>
    </w:p>
    <w:p>
      <w:pPr>
        <w:spacing w:before="240" w:after="240"/>
        <w:rPr>
          <w:lang w:val="el" w:eastAsia="el"/>
        </w:rPr>
      </w:pPr>
      <w:r>
        <w:rPr>
          <w:lang w:val="el" w:eastAsia="el"/>
        </w:rPr>
        <w:t>5. Το υπό στοιχεία 1291 Φ.706.7 έγγραφο της Πυρ/κης Υπηρεσίας Ελευσίνας-Ανακριτικού Γραφείου της Διοίκησης Π.Υ. Δυτ. Αττικής της Περ/κης Πυρ/κης Διεύθυνσης Αττικής του Αρχηγείου Πυρ/κου Σώματος της Γεν. Γραμ. Πολιτικής Προστασίας του Υπουργείου Κλιματικής Κρίσης και Προστασίας του Πολίτη με θέμα «Αποστολή Αντιγράφου Βεβαίωσης Πυρκαγιάς».</w:t>
      </w:r>
    </w:p>
    <w:p>
      <w:pPr>
        <w:spacing w:before="240" w:after="240"/>
        <w:rPr>
          <w:lang w:val="el" w:eastAsia="el"/>
        </w:rPr>
      </w:pPr>
      <w:r>
        <w:rPr>
          <w:lang w:val="el" w:eastAsia="el"/>
        </w:rPr>
        <w:t>6. Την υπ’ αρ. 254381/10.08.2022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7. Το υπ’ αρ. 254802/11.08.2022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8. Το γεγονός ότι η πυρκαγιά της 12ης Αυγούστου 2021 σε περιοχή του Δήμου Φυλής, της Περιφερειακής Ενότητας Δυτικής Αττικής, της Περιφέρειας Αττικής, ορίζεται ως φυσική καταστροφή.</w:t>
      </w:r>
    </w:p>
    <w:p>
      <w:pPr>
        <w:spacing w:before="240" w:after="240"/>
        <w:rPr>
          <w:lang w:val="el" w:eastAsia="el"/>
        </w:rPr>
      </w:pPr>
      <w:r>
        <w:rPr>
          <w:lang w:val="el" w:eastAsia="el"/>
        </w:rPr>
        <w:t>9. Τις έκτακτες στεγαστικές και λοιπές ανάγκες που έχουν δημιουργηθεί στους κατοίκους της περιοχής του Δήμου Φυλής της Περιφερειακής Ενότητας Δυτικής Αττικής της Περιφέρειας Αττικής τα κτήρια των οποίων επλήγησαν από την πυρκαγιά της 12ης Αυγούστου 2021 Kαι επειδή,</w:t>
      </w:r>
    </w:p>
    <w:p>
      <w:pPr>
        <w:spacing w:before="240" w:after="240"/>
        <w:rPr>
          <w:lang w:val="el" w:eastAsia="el"/>
        </w:rPr>
      </w:pPr>
      <w:r>
        <w:rPr>
          <w:lang w:val="el" w:eastAsia="el"/>
        </w:rPr>
        <w:t>από την πυρκαγιά της 12ης Αυγούστου 2021 σε περιοχές της Περιφερειακής Ενότητας Δυτικής Αττικής, της Περιφέρειας Αττικής, προκλήθηκαν εκτεταμένες ζημιές σε κτήρια, αποφασίζουμε:</w:t>
      </w:r>
    </w:p>
    <w:p>
      <w:pPr>
        <w:spacing w:before="240" w:after="240"/>
        <w:rPr>
          <w:lang w:val="el" w:eastAsia="el"/>
        </w:rPr>
      </w:pPr>
      <w:r>
        <w:rPr>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 867/1979 (Α’ 24), 1048/1980 (Α’ 101), 1133/1981 (Α’ 54), 1190/1981 (Α’ 203), 1283/82(Α’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πυρκαγιά του θέματος, η οποία έχει χαρακτήρα φυσικής καταστροφής, σε κτήρια τα οποία βρίσκονται εντός των διοικητικών ορίων της παρακάτω περιοχής: «θέση Πέτρα Κατηφόρα» της Δημοτικής Κοινότητας Φυλής, της Δημοτικής Ενότητας Φυλής, του Δήμου Φυλής, της Π.Ε. Δυτικής Αττικής, της Περιφέρειας Αττικής.</w:t>
      </w:r>
    </w:p>
    <w:p>
      <w:pPr>
        <w:spacing w:before="240" w:after="240"/>
        <w:rPr>
          <w:lang w:val="el" w:eastAsia="el"/>
        </w:rPr>
      </w:pPr>
      <w:r>
        <w:rPr>
          <w:lang w:val="el" w:eastAsia="el"/>
        </w:rPr>
        <w:t>1.2 Το έργο της αποκατάστασης των ζημιών σε κτίρια από την πυρκαγιά της 12ης Αυγούστου 2021 σε περιοχές της Περιφερειακής Ενότητας Δυτικής Αττικής, της Περιφέρειας Αττικής, αναλαμβάνει ο Τομέας Αποκατάστασης Επιπτώσεων Φυσικών Καταστροφών Δυτικής Αττικής (Τ.Α.Ε.Φ.Κ.-Δ.Α.),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του/της. Για τα υπόλοιπα τ.μ. των ιδιοκτησιών του/της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κτήρια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κτηρίων που ανήκουν σε επιχειρήσεις (κτηρίων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πρώτου του ν. 4152/2013 (Α’ 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 i) και ii) εάν το εμβαδόν των κλειστών χώρων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Για την επισκευή όλων των κτιρίων, η Σ.Σ. υπολογίζεται ανάλογα με τις ζημιές που παρουσιάζει το κτίριο και σύμφωνα με το Τιμολόγιο Επισκευών της Δ.Α.Ε.Φ.Κ.- Κ.Ε., το οποίο έχει εγκριθεί με την υπό στοιχεία οικ.6772/ Β9β/19.12.2011 (Β’ 3201) απόφαση του Υφυπουργού Υ.ΜΕ.ΔΙ., όπως τροποποιήθηκε με τις υπό στοιχεία 11756/Δ5/16.10.2018 (Β’ 4776, διόρθωση σφάλματος Β’5988) και οικ.907/Δ5/03.02.2020 (Β’ 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 Το ανώτατο όριο της χορηγούμενης Σ.Σ. για την επισκευή φερόντων στοιχείων κτιρίου ορίζεται σε 300 €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180 €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180 €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προσμετρούνται,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w:t>
      </w:r>
    </w:p>
    <w:p>
      <w:pPr>
        <w:spacing w:before="240" w:after="240"/>
        <w:rPr>
          <w:lang w:val="el" w:eastAsia="el"/>
        </w:rPr>
      </w:pPr>
      <w:r>
        <w:rPr>
          <w:lang w:val="el" w:eastAsia="el"/>
        </w:rPr>
        <w:t>Ως εκ τούτου για το πρώτο τμήμα η Σ.Σ. θα αποτελείται από Δ.Κ.Α. και Α.Δ., ενώ για τα υπόλοιπα τμήματα μόνο από Α.Δ.</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 τριας.</w:t>
      </w:r>
    </w:p>
    <w:p>
      <w:pPr>
        <w:spacing w:before="240" w:after="240"/>
        <w:rPr>
          <w:lang w:val="el" w:eastAsia="el"/>
        </w:rPr>
      </w:pPr>
      <w:r>
        <w:rPr>
          <w:lang w:val="el" w:eastAsia="el"/>
        </w:rPr>
        <w:t>6.10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6.12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 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A ) Ανακατασκευή ή αυτοστέγαση ή αποπεράτωση κτιρίου</w:t>
      </w:r>
    </w:p>
    <w:p>
      <w:pPr>
        <w:spacing w:before="240" w:after="240"/>
        <w:rPr>
          <w:lang w:val="el" w:eastAsia="el"/>
        </w:rPr>
      </w:pPr>
      <w:r>
        <w:rPr>
          <w:lang w:val="el" w:eastAsia="el"/>
        </w:rPr>
        <w:t>Α 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 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των εργασιών επισκευής και αντιστοιχεί στο 20%</w:t>
      </w:r>
    </w:p>
    <w:p>
      <w:pPr>
        <w:spacing w:before="240" w:after="240"/>
        <w:rPr>
          <w:lang w:val="el" w:eastAsia="el"/>
        </w:rPr>
      </w:pPr>
      <w:r>
        <w:rPr>
          <w:lang w:val="el" w:eastAsia="el"/>
        </w:rPr>
        <w:t>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ΣΠΥΡΙΔΩΝ-ΑΔΩΝΙΣ</w:t>
      </w:r>
    </w:p>
    <w:p>
      <w:pPr>
        <w:spacing w:before="240" w:after="240"/>
        <w:rPr>
          <w:lang w:val="el" w:eastAsia="el"/>
        </w:rPr>
      </w:pPr>
      <w:r>
        <w:rPr>
          <w:b/>
          <w:bCs/>
          <w:lang w:val="el" w:eastAsia="el"/>
        </w:rPr>
        <w:t>ΓΕΩΡΓΙΑΔΗΣ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