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lang w:val="el" w:eastAsia="el"/>
        </w:rPr>
        <w:t xml:space="preserve">I. </w:t>
      </w:r>
      <w:r>
        <w:rPr>
          <w:b/>
          <w:bCs/>
          <w:lang w:val="el" w:eastAsia="el"/>
        </w:rPr>
        <w:t>ΔΙΕΥΘΥΝΣΗ ΕΙΔΙΚΩΝ ΦΟΡΩΝ ΚΑΤΑΝΑΛΩΣΗΣ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II. </w:t>
      </w:r>
      <w:r>
        <w:rPr>
          <w:b/>
          <w:bCs/>
          <w:lang w:val="el" w:eastAsia="el"/>
        </w:rPr>
        <w:t>ΔΙΕΥΘΥΝΣΗ ΤΕΛΩΝΕΙΑΚΩΝ ΔΙΑΔΙΚΑΣΙΩΝ ΤΜΗΜΑ Δ΄</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ΤΕΛΩΝΕΙΑΚΩΝ, ΕΛΕΓΚΤΙΚΩΝ ΚΑΙ ΕΠΙΧΕΙΡΗΣΙΑΚΩΝ ΕΦΑΡΜΟΓΩΝ ΤΜΗΜΑ Β΄</w:t>
      </w:r>
    </w:p>
    <w:p>
      <w:pPr>
        <w:spacing w:before="240" w:after="240"/>
        <w:rPr>
          <w:lang w:val="el" w:eastAsia="el"/>
        </w:rPr>
      </w:pPr>
      <w:r>
        <w:rPr>
          <w:b/>
          <w:bCs/>
          <w:lang w:val="el" w:eastAsia="el"/>
        </w:rPr>
        <w:t>ΙΙ. ΔΙΕΥΘΥΝΣΗ ΑΝΑΠΤΥΞΗΣ ΦΟΡΟΛΟΓΙΚΩΝ 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ΙΙΙ. ΔΙΕΥΘΥΝΣΗ ΕΠΙΧΕΙΡΗΣΙΑΚΩΝ ΔΙΑΔΙΚΑΣΙΩΝ ΥΠΟΔΙΕΥΘΥΝΣΗ Α΄ ΑΠΑΙΤΗΣΕΩΝ ΚΑΙ ΕΛΕΓΧΟΥ ΕΦΑΡΜΟΓΩΝ ΦΟΡΟΛΟΓΙΑΣ ΤΜΗΜΑ Β΄</w:t>
      </w:r>
    </w:p>
    <w:p>
      <w:pPr>
        <w:spacing w:before="240" w:after="240"/>
        <w:rPr>
          <w:lang w:val="el" w:eastAsia="el"/>
        </w:rPr>
      </w:pPr>
      <w:r>
        <w:rPr>
          <w:b/>
          <w:bCs/>
          <w:lang w:val="el" w:eastAsia="el"/>
        </w:rPr>
        <w:t>Γ. ΓΕΝΙΚΗ ΔΙΕΥΘΥΝΣΗ ΦΟΡΟΛΟΓΙΚΗΣ ΔΙΟΙΚΗΣΗΣ ΔΙΕΥΘΥΝΣΗ ΕΙΣΠΡΑΞΕΩΝ ΚΑΙ ΕΠΙΣΤΡΟΦΩΝ ΤΜΗΜΑΤΑ Α, B΄&amp; Δ΄</w:t>
      </w:r>
    </w:p>
    <w:p>
      <w:pPr>
        <w:spacing w:before="240" w:after="240"/>
        <w:rPr>
          <w:lang w:val="el" w:eastAsia="el"/>
        </w:rPr>
      </w:pPr>
      <w:r>
        <w:rPr>
          <w:lang w:val="el" w:eastAsia="el"/>
        </w:rPr>
        <w:t xml:space="preserve">3. </w:t>
      </w:r>
      <w:r>
        <w:rPr>
          <w:b/>
          <w:bCs/>
          <w:lang w:val="el" w:eastAsia="el"/>
        </w:rPr>
        <w:t>ΥΠΟΥΡΓΕΙΟ ΑΓΡΟΤΙΚΗΣ ΑΝΑΠΤΥΞΗΣ ΚΑΙ ΤΡΟΦΙΜΩΝ</w:t>
      </w:r>
    </w:p>
    <w:p>
      <w:pPr>
        <w:spacing w:before="240" w:after="240"/>
        <w:rPr>
          <w:lang w:val="el" w:eastAsia="el"/>
        </w:rPr>
      </w:pPr>
      <w:r>
        <w:rPr>
          <w:b/>
          <w:bCs/>
          <w:lang w:val="el" w:eastAsia="el"/>
        </w:rPr>
        <w:t>ΓΕΝΙΚΗ ΓΡΑΜΜΑΤΕΙΑ ΑΓΡΟΤΙΚΗΣ ΑΝΑΠΤΥΞΗΣ ΚΑΙ ΤΡΟΦΙΜΩΝ</w:t>
      </w:r>
    </w:p>
    <w:p>
      <w:pPr>
        <w:spacing w:before="240" w:after="240"/>
        <w:rPr>
          <w:lang w:val="el" w:eastAsia="el"/>
        </w:rPr>
      </w:pPr>
      <w:r>
        <w:rPr>
          <w:b/>
          <w:bCs/>
          <w:lang w:val="el" w:eastAsia="el"/>
        </w:rPr>
        <w:t>A.ΓΕΝΙΚΗ ΔΙΕΥΘΥΝΣΗ ΑΠΟΚΕΝΤΡΩΜΕΝΩΝ 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 ΚΑΙ ΑΓΡΟΤΙΚΩΝ ΕΚΜΕΤΑΛΛΕΥΣΕΩΝ</w:t>
      </w:r>
    </w:p>
    <w:p>
      <w:pPr>
        <w:spacing w:before="240" w:after="240"/>
        <w:rPr>
          <w:lang w:val="el" w:eastAsia="el"/>
        </w:rPr>
      </w:pPr>
      <w:r>
        <w:rPr>
          <w:lang w:val="el" w:eastAsia="el"/>
        </w:rPr>
        <w:t xml:space="preserve">B. </w:t>
      </w:r>
      <w:r>
        <w:rPr>
          <w:b/>
          <w:bCs/>
          <w:lang w:val="el" w:eastAsia="el"/>
        </w:rPr>
        <w:t>ΓΕΝΙΚΗ ΔΙΕΥΘΥΝΣΗ ΔΙΟΙΚΗΤΙΚΩΝ ΥΠΗΡΕΣΙΩΝ</w:t>
      </w:r>
    </w:p>
    <w:p>
      <w:pPr>
        <w:spacing w:before="240" w:after="240"/>
        <w:rPr>
          <w:lang w:val="el" w:eastAsia="el"/>
        </w:rPr>
      </w:pPr>
      <w:r>
        <w:rPr>
          <w:b/>
          <w:bCs/>
          <w:lang w:val="el" w:eastAsia="el"/>
        </w:rPr>
        <w:t>ΚΑΙ ΗΛΕΚΤΡΟΝΙΚΗΣ ΔΙΑΚΥΒΕΡΝΗΣΗΣ ΔΙΕΥΘΥΝΣΗ ΗΛΕΚΤΡΟΝΙΚΗΣ ΔΙΑΚΥΒΕΡΝΗΣΗΣ ΤΜΗΜΑ ΔΙΑΧΕΙΡΙΣΗΣ DATA CENTER, ΔΙΚΤΥΩΝ ΚΑΙ ΒΑΣΕΩΝ ΔΕΔΟΜΕΝΩΝ</w:t>
      </w:r>
    </w:p>
    <w:p>
      <w:pPr>
        <w:spacing w:before="240" w:after="240"/>
        <w:rPr>
          <w:lang w:val="el" w:eastAsia="el"/>
        </w:rPr>
      </w:pPr>
      <w:r>
        <w:rPr>
          <w:lang w:val="el" w:eastAsia="el"/>
        </w:rPr>
        <w:t xml:space="preserve">4. </w:t>
      </w:r>
      <w:r>
        <w:rPr>
          <w:b/>
          <w:bCs/>
          <w:lang w:val="el" w:eastAsia="el"/>
        </w:rPr>
        <w:t>ΥΠΟΥΡΓΕΙΟ ΟΙΚΟΝΟΜΙΚΩΝ ΓΕΝΙΚΗ ΓΡΑΜΜΑΤΕΙΑ ΔΗΜΟΣΙΟΝΟΜΙΚΗΣ ΠΟΛΙΤΙΚΗΣ</w:t>
      </w:r>
    </w:p>
    <w:p>
      <w:pPr>
        <w:spacing w:before="240" w:after="240"/>
        <w:rPr>
          <w:lang w:val="el" w:eastAsia="el"/>
        </w:rPr>
      </w:pPr>
      <w:r>
        <w:rPr>
          <w:b/>
          <w:bCs/>
          <w:lang w:val="el" w:eastAsia="el"/>
        </w:rPr>
        <w:t>ΓΕΝΙΚΗ ΔΙΕΥΘΥΝΣΗ ΘΗΣΑΥΡΟΦΥΛΑΚΙΟΥ &amp;</w:t>
      </w:r>
    </w:p>
    <w:p>
      <w:pPr>
        <w:spacing w:before="240" w:after="240"/>
        <w:rPr>
          <w:lang w:val="el" w:eastAsia="el"/>
        </w:rPr>
      </w:pPr>
      <w:r>
        <w:rPr>
          <w:b/>
          <w:bCs/>
          <w:lang w:val="el" w:eastAsia="el"/>
        </w:rPr>
        <w:t>ΔΗΜΟΣΙΟΝΟΜΙΚΩΝ ΚΑΝΟΝΩΝ</w:t>
      </w:r>
    </w:p>
    <w:p>
      <w:pPr>
        <w:spacing w:before="240" w:after="240"/>
        <w:rPr>
          <w:lang w:val="el" w:eastAsia="el"/>
        </w:rPr>
      </w:pPr>
      <w:r>
        <w:rPr>
          <w:b/>
          <w:bCs/>
          <w:lang w:val="el" w:eastAsia="el"/>
        </w:rPr>
        <w:t>Δ/ΝΣΗ ΛΟΓΑΡΙΑΣΜΩΝ ΚΑΙ ΤΑΜΕΙΑΚΟΥ ΠΡΟΓΡΑΜΜΑΤΙΣΜΟΥ</w:t>
      </w:r>
    </w:p>
    <w:p>
      <w:pPr>
        <w:spacing w:before="240" w:after="240"/>
        <w:rPr>
          <w:lang w:val="el" w:eastAsia="el"/>
        </w:rPr>
      </w:pPr>
      <w:r>
        <w:rPr>
          <w:b/>
          <w:bCs/>
          <w:lang w:val="el" w:eastAsia="el"/>
        </w:rPr>
        <w:t>Θέμα: Τροποποίηση της υπό στοιχεία Α.1115/22.8.2022 κοινής απόφασης των Υπουργών Οικονομικών, Αγροτικής Ανάπτυξης και Τροφίμων και του Διοικητή της ΑΑΔΕ με θέμα “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(Β΄4485)</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ΟΙΚΟΝΟΜΙΚΩΝΑΓΡΟΤΙΚΗΣ ΑΝΑΠΤΥΞΗΣ ΚΑΙ ΤΡΟΦΙΜΩΝ</w:t>
      </w:r>
    </w:p>
    <w:p>
      <w:pPr>
        <w:spacing w:before="240" w:after="240"/>
        <w:rPr>
          <w:lang w:val="el" w:eastAsia="el"/>
        </w:rPr>
      </w:pPr>
      <w:r>
        <w:rPr>
          <w:b/>
          <w:bCs/>
          <w:lang w:val="el" w:eastAsia="el"/>
        </w:rPr>
        <w:t>ΚΑΙΟ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 στ΄ της παρ. 1 του άρθρου 73 και της παρ. 4Β του άρθρου 78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άρθρου 183 του ν.4964/2022 (Α΄150),</w:t>
      </w:r>
    </w:p>
    <w:p>
      <w:pPr>
        <w:pStyle w:val="StructureList1"/>
        <w:spacing w:before="120" w:after="0"/>
        <w:rPr>
          <w:lang w:val="el" w:eastAsia="el"/>
        </w:rPr>
      </w:pPr>
      <w:r>
        <w:rPr>
          <w:lang w:val="el" w:eastAsia="el"/>
        </w:rPr>
        <w:t>γ)</w:t>
      </w:r>
      <w:r>
        <w:rPr>
          <w:lang w:val="en" w:eastAsia="en"/>
        </w:rPr>
        <w:tab/>
      </w:r>
      <w:r>
        <w:rPr>
          <w:b/>
          <w:bCs/>
          <w:lang w:val="el" w:eastAsia="el"/>
        </w:rPr>
        <w:t>του άρθρου 90 του Κώδικα της νομοθεσίας για την Κυβέρνηση και τα κυβερνητικά όργανα(π.δ.63/2005, Α΄98), σε συνδυασμό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της παρ. 3 του άρθρου 13 του ν. 1947/1991 (Α΄70),</w:t>
      </w:r>
    </w:p>
    <w:p>
      <w:pPr>
        <w:pStyle w:val="StructureList1"/>
        <w:spacing w:before="120" w:after="0"/>
        <w:rPr>
          <w:lang w:val="el" w:eastAsia="el"/>
        </w:rPr>
      </w:pPr>
      <w:r>
        <w:rPr>
          <w:lang w:val="el" w:eastAsia="el"/>
        </w:rPr>
        <w:t>στ)</w:t>
      </w:r>
      <w:r>
        <w:rPr>
          <w:lang w:val="en" w:eastAsia="en"/>
        </w:rPr>
        <w:tab/>
      </w:r>
      <w:r>
        <w:rPr>
          <w:b/>
          <w:bCs/>
          <w:lang w:val="el" w:eastAsia="el"/>
        </w:rPr>
        <w:t>του άρθρου 14 του ν. 2892/2001 (Α΄46),</w:t>
      </w:r>
    </w:p>
    <w:p>
      <w:pPr>
        <w:pStyle w:val="StructureList1"/>
        <w:spacing w:before="120" w:after="0"/>
        <w:rPr>
          <w:lang w:val="el" w:eastAsia="el"/>
        </w:rPr>
      </w:pPr>
      <w:r>
        <w:rPr>
          <w:lang w:val="el" w:eastAsia="el"/>
        </w:rPr>
        <w:t>ζ)</w:t>
      </w:r>
      <w:r>
        <w:rPr>
          <w:lang w:val="en" w:eastAsia="en"/>
        </w:rPr>
        <w:tab/>
      </w:r>
      <w:r>
        <w:rPr>
          <w:b/>
          <w:bCs/>
          <w:lang w:val="el" w:eastAsia="el"/>
        </w:rPr>
        <w:t>του άρθρου 12, της παρ. 1 του άρθρου 42, του άρθρου 44 και της παρ. 2 του άρθρου 48 του Κώδικα Φορολογικής Διαδικασίας (ν. 4174/2013, Α΄170),</w:t>
      </w:r>
    </w:p>
    <w:p>
      <w:pPr>
        <w:pStyle w:val="StructureList1"/>
        <w:spacing w:before="120" w:after="0"/>
        <w:rPr>
          <w:lang w:val="el" w:eastAsia="el"/>
        </w:rPr>
      </w:pPr>
      <w:r>
        <w:rPr>
          <w:lang w:val="el" w:eastAsia="el"/>
        </w:rPr>
        <w:t>η)</w:t>
      </w:r>
      <w:r>
        <w:rPr>
          <w:lang w:val="en" w:eastAsia="en"/>
        </w:rPr>
        <w:tab/>
      </w:r>
      <w:r>
        <w:rPr>
          <w:b/>
          <w:bCs/>
          <w:lang w:val="el" w:eastAsia="el"/>
        </w:rPr>
        <w:t>των άρθρων 3 και 83 του Κώδικα Εισπράξεως Δημοσίων Εσόδων (ν.δ. 356/1974, Α΄90),</w:t>
      </w:r>
    </w:p>
    <w:p>
      <w:pPr>
        <w:pStyle w:val="StructureList1"/>
        <w:spacing w:before="120" w:after="0"/>
        <w:rPr>
          <w:lang w:val="el" w:eastAsia="el"/>
        </w:rPr>
      </w:pPr>
      <w:r>
        <w:rPr>
          <w:lang w:val="el" w:eastAsia="el"/>
        </w:rPr>
        <w:t>θ)</w:t>
      </w:r>
      <w:r>
        <w:rPr>
          <w:lang w:val="en" w:eastAsia="en"/>
        </w:rPr>
        <w:tab/>
      </w:r>
      <w:r>
        <w:rPr>
          <w:b/>
          <w:bCs/>
          <w:lang w:val="el" w:eastAsia="el"/>
        </w:rPr>
        <w:t>της υποπαρ. IA.2 της παρ. ΙΑ του άρθρου πρώτου του Κεφαλαίου Α΄ του ν. 4254/2014 (Α΄85),</w:t>
      </w:r>
    </w:p>
    <w:p>
      <w:pPr>
        <w:pStyle w:val="StructureList1"/>
        <w:spacing w:before="120" w:after="0"/>
        <w:rPr>
          <w:lang w:val="el" w:eastAsia="el"/>
        </w:rPr>
      </w:pPr>
      <w:r>
        <w:rPr>
          <w:lang w:val="el" w:eastAsia="el"/>
        </w:rPr>
        <w:t>ι)</w:t>
      </w:r>
      <w:r>
        <w:rPr>
          <w:lang w:val="en" w:eastAsia="en"/>
        </w:rPr>
        <w:tab/>
      </w:r>
      <w:r>
        <w:rPr>
          <w:b/>
          <w:bCs/>
          <w:lang w:val="el" w:eastAsia="el"/>
        </w:rPr>
        <w:t>του ν. 4270/2014 (Α΄143)</w:t>
      </w:r>
    </w:p>
    <w:p>
      <w:pPr>
        <w:pStyle w:val="StructureList1"/>
        <w:spacing w:before="120" w:after="0"/>
        <w:rPr>
          <w:lang w:val="el" w:eastAsia="el"/>
        </w:rPr>
      </w:pPr>
      <w:r>
        <w:rPr>
          <w:lang w:val="el" w:eastAsia="el"/>
        </w:rPr>
        <w:t>ια)</w:t>
      </w:r>
      <w:r>
        <w:rPr>
          <w:lang w:val="en" w:eastAsia="en"/>
        </w:rPr>
        <w:tab/>
      </w:r>
      <w:r>
        <w:rPr>
          <w:b/>
          <w:bCs/>
          <w:lang w:val="el" w:eastAsia="el"/>
        </w:rPr>
        <w:t>του άρθρου 18 του ν. 3522/2006 (Α΄276),</w:t>
      </w:r>
    </w:p>
    <w:p>
      <w:pPr>
        <w:pStyle w:val="StructureList1"/>
        <w:spacing w:before="120" w:after="0"/>
        <w:rPr>
          <w:lang w:val="el" w:eastAsia="el"/>
        </w:rPr>
      </w:pPr>
      <w:r>
        <w:rPr>
          <w:lang w:val="el" w:eastAsia="el"/>
        </w:rPr>
        <w:t>ιβ)</w:t>
      </w:r>
      <w:r>
        <w:rPr>
          <w:lang w:val="en" w:eastAsia="en"/>
        </w:rPr>
        <w:tab/>
      </w:r>
      <w:r>
        <w:rPr>
          <w:b/>
          <w:bCs/>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StructureList1"/>
        <w:spacing w:before="120" w:after="0"/>
        <w:rPr>
          <w:lang w:val="el" w:eastAsia="el"/>
        </w:rPr>
      </w:pPr>
      <w:r>
        <w:rPr>
          <w:lang w:val="el" w:eastAsia="el"/>
        </w:rPr>
        <w:t>ιγ)</w:t>
      </w:r>
      <w:r>
        <w:rPr>
          <w:lang w:val="en" w:eastAsia="en"/>
        </w:rPr>
        <w:tab/>
      </w:r>
      <w:r>
        <w:rPr>
          <w:b/>
          <w:bCs/>
          <w:lang w:val="el" w:eastAsia="el"/>
        </w:rPr>
        <w:t>του π.δ. 83/2019 «Διορισμός Αντιπροέδρου της Κυβέρνησης, Υπουργών, Αναπληρωτών Υπουργών και Υφυπουργών» (Α΄121 και Α΄126 για διόρθωση σφάλματος),</w:t>
      </w:r>
    </w:p>
    <w:p>
      <w:pPr>
        <w:pStyle w:val="StructureList1"/>
        <w:spacing w:before="120" w:after="0"/>
        <w:rPr>
          <w:lang w:val="el" w:eastAsia="el"/>
        </w:rPr>
      </w:pPr>
      <w:r>
        <w:rPr>
          <w:lang w:val="el" w:eastAsia="el"/>
        </w:rPr>
        <w:t>ιδ)</w:t>
      </w:r>
      <w:r>
        <w:rPr>
          <w:lang w:val="en" w:eastAsia="en"/>
        </w:rPr>
        <w:tab/>
      </w:r>
      <w:r>
        <w:rPr>
          <w:b/>
          <w:bCs/>
          <w:lang w:val="el" w:eastAsia="el"/>
        </w:rPr>
        <w:t>του π.δ. 142/2017 «Οργανισμός Υπουργείου Οικονομικών» (Α΄181),</w:t>
      </w:r>
    </w:p>
    <w:p>
      <w:pPr>
        <w:pStyle w:val="StructureList1"/>
        <w:spacing w:before="120" w:after="0"/>
        <w:rPr>
          <w:lang w:val="el" w:eastAsia="el"/>
        </w:rPr>
      </w:pPr>
      <w:r>
        <w:rPr>
          <w:lang w:val="el" w:eastAsia="el"/>
        </w:rPr>
        <w:t>ιε)</w:t>
      </w:r>
      <w:r>
        <w:rPr>
          <w:lang w:val="en" w:eastAsia="en"/>
        </w:rPr>
        <w:tab/>
      </w:r>
      <w:r>
        <w:rPr>
          <w:b/>
          <w:bCs/>
          <w:lang w:val="el" w:eastAsia="el"/>
        </w:rPr>
        <w:t>του π.δ. 97/2017 «Οργανισμός Υπουργείου Αγροτικής Ανάπτυξης και Τροφίμων» (Α΄138), ιστ) του π.δ. 8/2022 «Διορισμός Υπουργού Αγροτικής Ανάπτυξης και Τροφίμων» (Α΄19),</w:t>
      </w:r>
    </w:p>
    <w:p>
      <w:pPr>
        <w:pStyle w:val="StructureList1"/>
        <w:spacing w:before="120" w:after="0"/>
        <w:rPr>
          <w:lang w:val="el" w:eastAsia="el"/>
        </w:rPr>
      </w:pPr>
      <w:r>
        <w:rPr>
          <w:lang w:val="el" w:eastAsia="el"/>
        </w:rPr>
        <w:t>ιζ)</w:t>
      </w:r>
      <w:r>
        <w:rPr>
          <w:lang w:val="en" w:eastAsia="en"/>
        </w:rPr>
        <w:tab/>
      </w:r>
      <w:r>
        <w:rPr>
          <w:b/>
          <w:bCs/>
          <w:lang w:val="el" w:eastAsia="el"/>
        </w:rPr>
        <w:t>του π.δ.62/2020 «Διορισμός Αναπληρωτών Υπουργών και Υφυπουργών» (Α΄155),</w:t>
      </w:r>
    </w:p>
    <w:p>
      <w:pPr>
        <w:pStyle w:val="StructureList1"/>
        <w:spacing w:before="120" w:after="0"/>
        <w:rPr>
          <w:lang w:val="el" w:eastAsia="el"/>
        </w:rPr>
      </w:pPr>
      <w:r>
        <w:rPr>
          <w:lang w:val="el" w:eastAsia="el"/>
        </w:rPr>
        <w:t>ιη)</w:t>
      </w:r>
      <w:r>
        <w:rPr>
          <w:lang w:val="en" w:eastAsia="en"/>
        </w:rPr>
        <w:tab/>
      </w:r>
      <w:r>
        <w:rPr>
          <w:b/>
          <w:bCs/>
          <w:lang w:val="el" w:eastAsia="el"/>
        </w:rPr>
        <w:t>της υπό στοιχεία ΠΟΛ. 1274/27.12.2013 απόφασης του Γενικού Γραμματέα Δημοσίων Εσόδων «Αποδεικτικό Ενημερότητας άρθρου 12 ν. 4174/2013 (Α΄170)» (Β΄3398) και ειδικότερα της περ. ζ) της παρ. 1 του άρθρου 2 αυτής,</w:t>
      </w:r>
    </w:p>
    <w:p>
      <w:pPr>
        <w:pStyle w:val="StructureList1"/>
        <w:spacing w:before="120" w:after="0"/>
        <w:rPr>
          <w:lang w:val="el" w:eastAsia="el"/>
        </w:rPr>
      </w:pPr>
      <w:r>
        <w:rPr>
          <w:lang w:val="el" w:eastAsia="el"/>
        </w:rPr>
        <w:t>ιθ)</w:t>
      </w:r>
      <w:r>
        <w:rPr>
          <w:lang w:val="en" w:eastAsia="en"/>
        </w:rPr>
        <w:tab/>
      </w:r>
      <w:r>
        <w:rPr>
          <w:b/>
          <w:bCs/>
          <w:lang w:val="el" w:eastAsia="el"/>
        </w:rPr>
        <w:t>του ν. 4308/2014 «Eλληνικά Λογιστικά Πρότυπα, συναφείς ρυθμίσεις και άλλες διατάξεις» (Α΄251), 2. 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3.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4. </w:t>
      </w:r>
      <w:r>
        <w:rPr>
          <w:b/>
          <w:bCs/>
          <w:lang w:val="el" w:eastAsia="el"/>
        </w:rPr>
        <w:t>Την υπό στοιχεία Υ70/30.10.2020 απόφαση του Πρωθυπουργού «Ανάθεση αρμοδιοτήτων στον Αναπληρωτή Υπουργό Οικονομικών, Θεόδωρο Σκυλακάκη» (Β΄4805)</w:t>
      </w:r>
    </w:p>
    <w:p>
      <w:pPr>
        <w:spacing w:before="240" w:after="240"/>
        <w:rPr>
          <w:lang w:val="el" w:eastAsia="el"/>
        </w:rPr>
      </w:pPr>
      <w:r>
        <w:rPr>
          <w:lang w:val="el" w:eastAsia="el"/>
        </w:rPr>
        <w:t xml:space="preserve">5. </w:t>
      </w:r>
      <w:r>
        <w:rPr>
          <w:b/>
          <w:bCs/>
          <w:lang w:val="el" w:eastAsia="el"/>
        </w:rPr>
        <w:t>Την υπό στοιχεία Δ.ΟΡΓ.Α 1125859 ΕΞ2020/23.10.2020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 xml:space="preserve">6. </w:t>
      </w:r>
      <w:r>
        <w:rPr>
          <w:b/>
          <w:bCs/>
          <w:lang w:val="el" w:eastAsia="el"/>
        </w:rPr>
        <w:t>Την υπ. αρ. 15435/913/16.04.2020 απόφαση του Υπουργού Εργασίας &amp; Κοινωνικών Υποθέσεων «Διαδικασία χορήγησης και περιεχόμενο του Αποδεικτικού Ασφαλιστικής Ενημερότητας και της Βεβαίωσης Οφειλής του e-ΕΦΚΑ και ΕΦΚΑ» (Β΄1559) και ειδικότερα του άρθρου 2 αυτής.</w:t>
      </w:r>
    </w:p>
    <w:p>
      <w:pPr>
        <w:spacing w:before="240" w:after="240"/>
        <w:rPr>
          <w:lang w:val="el" w:eastAsia="el"/>
        </w:rPr>
      </w:pPr>
      <w:r>
        <w:rPr>
          <w:lang w:val="el" w:eastAsia="el"/>
        </w:rPr>
        <w:t xml:space="preserve">7. </w:t>
      </w:r>
      <w:r>
        <w:rPr>
          <w:b/>
          <w:bCs/>
          <w:lang w:val="el" w:eastAsia="el"/>
        </w:rPr>
        <w:t>Την υπ’ αρ. 1/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εδάφιο πρώτο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και την υπό στοιχεία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υπό στοιχεία ΔΕΦΚΦ Α 1141582/ΕΞ2016/29.9.2016 κοινή απόφαση των Υπουργών Οικονομικών και Αγροτικής Ανάπτυξης και Τροφίμων «Καθορισμός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 στ΄ της παρ. 1 του άρθρου 73 του ν. 2960/2001 (Α΄265) ‘’Εθνικός Τελωνειακός Κώδικας’’, το οποίο χρησιμοποιείται αποκλειστικά στη γεωργία» (Β΄3155).</w:t>
      </w:r>
    </w:p>
    <w:p>
      <w:pPr>
        <w:spacing w:before="240" w:after="240"/>
        <w:rPr>
          <w:lang w:val="el" w:eastAsia="el"/>
        </w:rPr>
      </w:pPr>
      <w:r>
        <w:rPr>
          <w:lang w:val="el" w:eastAsia="el"/>
        </w:rPr>
        <w:t xml:space="preserve">9. </w:t>
      </w:r>
      <w:r>
        <w:rPr>
          <w:b/>
          <w:bCs/>
          <w:lang w:val="el" w:eastAsia="el"/>
        </w:rPr>
        <w:t>Την υπό στοιχεία Α. 1115/22.8.2022 κοινή απόφαση των Υπουργών Οικονομικών, Αγροτικής Ανάπτυξης και Τροφίμων και του Διοικητή της ΑΑΔΕ «Όροι, προϋποθέσεις και διαδικασία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2022, δικαιούχα επιστροφής του ειδικού φόρου κατανάλωσης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(Β΄4485).</w:t>
      </w:r>
    </w:p>
    <w:p>
      <w:pPr>
        <w:spacing w:before="240" w:after="240"/>
        <w:rPr>
          <w:lang w:val="el" w:eastAsia="el"/>
        </w:rPr>
      </w:pPr>
      <w:r>
        <w:rPr>
          <w:lang w:val="el" w:eastAsia="el"/>
        </w:rPr>
        <w:t xml:space="preserve">10. </w:t>
      </w:r>
      <w:r>
        <w:rPr>
          <w:b/>
          <w:bCs/>
          <w:lang w:val="el" w:eastAsia="el"/>
        </w:rPr>
        <w:t>Την ανάγκη τροποποίησης του άρθρου 4 της υπό στοιχεία Α.1115/22.8.2022 κοινής απόφασης των Υπουργών Οικονομικών, Αγροτικής Ανάπτυξης &amp; Τροφίμων και του Διοικητή της ΑΑΔΕ αναφορικά με τη διαδικασία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στους δικαιούχους επιστροφής του φόρου αυτού.</w:t>
      </w:r>
    </w:p>
    <w:p>
      <w:pPr>
        <w:spacing w:before="240" w:after="240"/>
        <w:rPr>
          <w:lang w:val="el" w:eastAsia="el"/>
        </w:rPr>
      </w:pPr>
      <w:r>
        <w:rPr>
          <w:lang w:val="el" w:eastAsia="el"/>
        </w:rPr>
        <w:t xml:space="preserve">11. </w:t>
      </w:r>
      <w:r>
        <w:rPr>
          <w:b/>
          <w:bCs/>
          <w:lang w:val="el" w:eastAsia="el"/>
        </w:rPr>
        <w:t>Το γεγονός ότι με τις διατάξεις της παρούσας απόφασης προκαλείται δαπάνη σε βάρος του κρατικού προϋπολογισμού ύψους περίπου δεκαπέντε χιλιάδων (15.000) ευρώ σε βάρος του τακτικού προϋπολογισμού του Ειδικού Φορέα 1023-711-0000000 «Γενικές Κρατικές Δαπάνες» του Υπουργείου Οικονομικών, και η οποία θα καλυφθεί από τις πιστώσεις του ΑΛΕ 2420913001 «Λοιπές αμοιβές για τραπεζικές υπηρεσίες»,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Το άρθρο 4 της υπό στοιχεία Α. 1115/22.8.2022 κοινής απόφασης των Υπουργών Οικονομικών, Αγροτικής Ανάπτυξης &amp; Τροφίμων και του Διοικητή της ΑΑΔΕ (Β΄4485)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lang w:val="el" w:eastAsia="el"/>
        </w:rPr>
        <w:t xml:space="preserve">1. </w:t>
      </w:r>
      <w:r>
        <w:rPr>
          <w:b/>
          <w:bCs/>
          <w:lang w:val="el" w:eastAsia="el"/>
        </w:rPr>
        <w:t>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Ανεξάρτητης Αρχής Δημοσίων Εσόδων (ΑΑΔΕ).</w:t>
      </w:r>
    </w:p>
    <w:p>
      <w:pPr>
        <w:spacing w:before="240" w:after="240"/>
        <w:rPr>
          <w:lang w:val="el" w:eastAsia="el"/>
        </w:rPr>
      </w:pPr>
      <w:r>
        <w:rPr>
          <w:lang w:val="el" w:eastAsia="el"/>
        </w:rPr>
        <w:t xml:space="preserve">2. </w:t>
      </w:r>
      <w:r>
        <w:rPr>
          <w:b/>
          <w:bCs/>
          <w:lang w:val="el" w:eastAsia="el"/>
        </w:rPr>
        <w:t>Το Υπουργείο Αγροτικής Ανάπτυξης και Τροφίμων (ΥΠΑΑΤ) διαβιβάζει στη ΓΔΗΛΕΔ σε ψηφιακό μέσο, τους ΑΦΜ των δικαιούχων προσώπων του άρθρου 2 και ανά ΑΦΜ, τις ετήσιες δικαιούμενες ποσότητες καυσίμων για τις οποίες δύναται να λάβει επιστροφή βάσει της παρ.1 του άρθρου 3, για το σύνολο των δραστηριοτήτων του, το κάθε δικαιούχο πρόσωπο.</w:t>
      </w:r>
    </w:p>
    <w:p>
      <w:pPr>
        <w:spacing w:before="240" w:after="240"/>
        <w:rPr>
          <w:lang w:val="el" w:eastAsia="el"/>
        </w:rPr>
      </w:pPr>
      <w:r>
        <w:rPr>
          <w:lang w:val="el" w:eastAsia="el"/>
        </w:rPr>
        <w:t xml:space="preserve">3. </w:t>
      </w:r>
      <w:r>
        <w:rPr>
          <w:b/>
          <w:bCs/>
          <w:lang w:val="el" w:eastAsia="el"/>
        </w:rPr>
        <w:t>Η Διεύθυνση Ανάπτυξης Τελωνειακών, Ελεγκτικών και Επιχειρησιακών Εφαρμογών (ΔΑΤΕ) της ΓΔΗΛΕΔ επεξεργάζεται ψηφιακά τα στοιχεία των δικαιούχων προσώπων και υπολογίζει το ποσό επιστροφής του ΕΦΚ, με βάση την ποσότητα καυσίμου σε λίτρα, όπως αυτές έχουν προσδιορισθεί βάσει της παρ. 2.</w:t>
      </w:r>
    </w:p>
    <w:p>
      <w:pPr>
        <w:spacing w:before="240" w:after="240"/>
        <w:rPr>
          <w:lang w:val="el" w:eastAsia="el"/>
        </w:rPr>
      </w:pPr>
      <w:r>
        <w:rPr>
          <w:lang w:val="el" w:eastAsia="el"/>
        </w:rPr>
        <w:t xml:space="preserve">4. </w:t>
      </w:r>
      <w:r>
        <w:rPr>
          <w:b/>
          <w:bCs/>
          <w:lang w:val="el" w:eastAsia="el"/>
        </w:rPr>
        <w:t>H Διεύθυνση Ανάπτυξης Φορολογικών Εφαρμογών (ΔΑΦΕ) της ΓΔΗΛΕΔ αντλεί τα στοιχεία λογαριασμού πληρωμών (σε μορφή ΙΒΑΝ) κάθε δικαιούχου από τα δηλωθέντα στην πλατφόρμα «Δήλωση Λογαριασμού IBAN» της ψηφιακής πύλης myAADE της ΑΑΔΕ. Για όσους δικαιούχους δεν έχει δηλωθεί λογαριασμός πληρωμών, τα στοιχεία αντλούνται από αρχείο που αποστέλλεται από τον ΟΠΕΚΕΠΕ και περιλαμβάνει την πληροφορία του ΙΒΑΝ ανά δικαιούχο. Στη συνέχεια διασταυρώνει και ταυτοποιεί τα στοιχεία αυτά, με τα τηρούμενα στους παρόχους υπηρεσιών πληρωμών. Σε περίπτωση που δεν καταστεί εφικτή η ταυτοποίηση των δηλωθέντων στοιχείων λογαριασμού πληρωμών του δικαιούχου ή δεν εμφανίζεται ο ΙΒΑΝ λογαριασμός του, η ΔΑΦΕ αποστέλλει στον δικαιούχο ηλεκτρονικό μήνυμα, προκειμένου αυτός να γνωστοποιήσει στη Φορολογική Διοίκηση λογαριασμό πληρωμών με μορφή ΙΒΑΝ στην επιλογή Μητρώο &amp; Επικοινωνία / Δήλωση Λογαριασμού ΙΒΑΝ στο myAADE, μέχρι τις 30/9/2022.</w:t>
      </w:r>
    </w:p>
    <w:p>
      <w:pPr>
        <w:spacing w:before="240" w:after="240"/>
        <w:rPr>
          <w:lang w:val="el" w:eastAsia="el"/>
        </w:rPr>
      </w:pPr>
      <w:r>
        <w:rPr>
          <w:lang w:val="el" w:eastAsia="el"/>
        </w:rPr>
        <w:t xml:space="preserve">5. </w:t>
      </w:r>
      <w:r>
        <w:rPr>
          <w:b/>
          <w:bCs/>
          <w:lang w:val="el" w:eastAsia="el"/>
        </w:rPr>
        <w:t>Μετά την ως άνω επιτυχή ταυτοποίηση, η ΔΑΦΕ εκδίδει και αποστέλλει στις ΔΟΥ φορολογίας των δικαιούχων επιστροφής, ψηφιακά εκκαθαρισμένα ατομικά φύλλα έκπτωσης (ΑΦΕΚ). Για την εξόφληση των εν λόγω ΑΦΕΚ, εφόσον η κατάσταση του φορολογούμενου επιτρέπει την έκδοση εντολής μεταφοράς, ήτοι ενδεικτικά, ο φορολογούμενος δεν είναι αποβιώσας, ανενεργός, απενεργοποιημένος, η ΔΑΦΕ, προς πίστωση των λογαριασμών των δικαιούχων, εκδίδει κεντρικά οριστικοποιημένες και εκτελεσμένες εντολές μεταφοράς με χρέωση του λογαριασμού της κάθε ΔΟΥ που τηρείται στην Τράπεζα της Ελλάδος (ΤτΕ).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w:t>
      </w:r>
    </w:p>
    <w:p>
      <w:pPr>
        <w:spacing w:before="240" w:after="240"/>
        <w:rPr>
          <w:lang w:val="el" w:eastAsia="el"/>
        </w:rPr>
      </w:pPr>
      <w:r>
        <w:rPr>
          <w:lang w:val="el" w:eastAsia="el"/>
        </w:rPr>
        <w:t xml:space="preserve">6. </w:t>
      </w:r>
      <w:r>
        <w:rPr>
          <w:b/>
          <w:bCs/>
          <w:lang w:val="el" w:eastAsia="el"/>
        </w:rPr>
        <w:t>Στη συνέχεια η ΔΑΦΕ αποστέλλει προς την Τράπεζα της Ελλάδος την ως άνω πληροφορία με αρχεία διεπαφής συγκεντρωτικά για κάθε ΔΟΥ προκειμένου να πιστωθεί ο ενδιάμεσος λογαριασμός του Υπουργείου Οικονομικών που τηρείται στην Τράπεζα της Ελλάδος με ΙΒΑΝ GR22 0100 0230 0000 0242 1220 698 και με ονομασία «Πληρωμές ΕΔ με τη μεσολάβηση της ΔΙΑΣ ΑΕ».</w:t>
      </w:r>
    </w:p>
    <w:p>
      <w:pPr>
        <w:spacing w:before="240" w:after="240"/>
        <w:rPr>
          <w:lang w:val="el" w:eastAsia="el"/>
        </w:rPr>
      </w:pPr>
      <w:r>
        <w:rPr>
          <w:b/>
          <w:bCs/>
          <w:lang w:val="el" w:eastAsia="el"/>
        </w:rPr>
        <w:t>Για τις περιπτώσεις όπου η κατάσταση του φορολογούμενου δεν είναι η δέουσα κατά τα ανωτέρω, ή έχει παρέλθει η προθεσμία δήλωσης του λογαριασμού πληρωμών σε μορφή ΙΒΑΝ από τον δικαιούχο, η ΔΑΦΕ αποστέλλει στη ΔΟΥ φορολογίας του, ψηφιακά εκκαθαρισμένα ΑΦΕΚ για τη διενέργεια σχετικού ελέγχου και την πίστωση των προς επιστροφή ποσών στους λογαριασμούς πληρωμών των δικαιούχων.</w:t>
      </w:r>
    </w:p>
    <w:p>
      <w:pPr>
        <w:spacing w:before="240" w:after="240"/>
        <w:rPr>
          <w:lang w:val="el" w:eastAsia="el"/>
        </w:rPr>
      </w:pPr>
      <w:r>
        <w:rPr>
          <w:lang w:val="el" w:eastAsia="el"/>
        </w:rPr>
        <w:t xml:space="preserve">7. </w:t>
      </w:r>
      <w:r>
        <w:rPr>
          <w:b/>
          <w:bCs/>
          <w:lang w:val="el" w:eastAsia="el"/>
        </w:rPr>
        <w:t>Η ΔΑΦΕ αποστέλλει αίτημα πληρωμής στη Διεύθυνση Λογαριασμών και Ταμειακού Προγραμματισμού του Γενικού Λογιστηρίου του Κράτους, το οποίο περιλαμβάνει το συνολικό αριθμό των δικαιούχων, το ποσό που αφορά στο ανά συναλλαγή κόστος προς τρίτους (ΔΙΑΣ ΑΕ), σύμφωνα με την υπ΄ αρ. 109/2019 πράξη του Διοικητή της Τράπεζας της Ελλάδος καθώς και το συνολικό ποσό μεταφοράς σε λογαριασμούς των δικαιούχων. Ταυτόχρονα η ΔΑΦΕ αποστέλει στη ΔΙΑΣ ΑΕ αναλυτική ψηφιακή κατάσταση δικαιούχων, με συγκεκριμένη μορφή στην οποία περιλαμβάνονται κατ’ ελάχιστον τα στοιχεία ΑΦΜ, ΙΒΑΝ και ποσό για κάθε δικαιούχο.</w:t>
      </w:r>
    </w:p>
    <w:p>
      <w:pPr>
        <w:spacing w:before="240" w:after="240"/>
        <w:rPr>
          <w:lang w:val="el" w:eastAsia="el"/>
        </w:rPr>
      </w:pPr>
      <w:r>
        <w:rPr>
          <w:b/>
          <w:bCs/>
          <w:lang w:val="el" w:eastAsia="el"/>
        </w:rPr>
        <w:t>Η Διεύθυνση Λογαριασμών και Ταμειακού Προγραμματισμού του Γενικού Λογιστηρίου του Κράτους εκδίδει εντολή προς την Τράπεζα της Ελλάδος για χρέωση του λογαριασμού του Ελληνικού Δημοσίου Νο 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ανωτέρω πράξη του Διοικητή της Τράπεζας της Ελλάδος.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ενδιάμεσος λογαριασμός με ΙΒΑΝ GR22 0100 0230 0000 0242 1220 698 με ονομασία «Πληρωμές ΕΔ με τη μεσολάβηση της ΔΙΑΣ ΑΕ» προκειμένου να διοδευθούν οι επιμέρους πληρωμές, με τη μεσολάβηση της ΔΙΑΣ ΑΕ, βάσει του προαναφερόμενου αναλυτικού αρχείου που έχει αποστείλει η ΔΑΦΕ, προς τους ΙΒΑΝ λογαριασμούς πληρωμών των δικαιούχων.</w:t>
      </w:r>
    </w:p>
    <w:p>
      <w:pPr>
        <w:spacing w:before="240" w:after="240"/>
        <w:rPr>
          <w:lang w:val="el" w:eastAsia="el"/>
        </w:rPr>
      </w:pPr>
      <w:r>
        <w:rPr>
          <w:b/>
          <w:bCs/>
          <w:lang w:val="el" w:eastAsia="el"/>
        </w:rPr>
        <w:t>Για τις συναλλαγές που απορρίφθηκαν / απέτυχαν να πληρωθούν από τα ιδρύματα πληρωμών τα ποσά επιστρέφονται στον ανωτέρω ενδιάμεσο λογαριασμό και η ΔΙΑΣ ΑΕ ενημερώνει τη ΔΑΦΕ με τα αναλυτικά στοιχεία πληρωμών. Στη συνέχεια η ΔΑΦΕ αποστέλλει αίτημα στη Διεύθυνση Λογαριασμών και Ταμειακού Προγραμματισμού για την επιστροφή των ποσών στους λογαριασμούς των αρμόδιων ΔΟΥ χρεώνοντας τον ως άνω ενδιάμεσο λογαριασμό και πιστώνοντας τον λογαριασμό της κατά περίπτωση ΔΟΥ. Παράλληλα η ΔΑΦΕ ενημερώνει τις ΔΟΥ για τις απορριφθείσες συναλλαγές. Μετά την πίστωση του λογαριασμού η ΔΟΥ προβαίνει στις κατά τις ισχύουσες διατάξεις περαιτέρω ενέργειές της.</w:t>
      </w:r>
    </w:p>
    <w:p>
      <w:pPr>
        <w:spacing w:before="240" w:after="240"/>
        <w:rPr>
          <w:lang w:val="el" w:eastAsia="el"/>
        </w:rPr>
      </w:pPr>
      <w:r>
        <w:rPr>
          <w:b/>
          <w:bCs/>
          <w:lang w:val="el" w:eastAsia="el"/>
        </w:rPr>
        <w:t>Η εμφάνιση του ποσού που αφορά στο ανά συναλλαγή κόστος προς τρίτους (ΔΙΑΣ ΑΕ) στη δημόσια ληψοδοσία πραγματοποιείται με την έκδοση του οικείου συμψηφιστικού χρηματικού εντάλματος από τη ΓΔΟΥ του Υπουργείου Οικονομικών.»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Ισχύς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αυτή να δημοσιευτεί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4"/>
        <w:gridCol w:w="2826"/>
        <w:gridCol w:w="2130"/>
        <w:gridCol w:w="1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ΑΝΑΠΛΗΡΩΤΗΣ</w:t>
            </w:r>
          </w:p>
          <w:p>
            <w:pPr>
              <w:spacing w:before="240" w:after="240"/>
              <w:rPr>
                <w:b w:val="0"/>
                <w:bCs w:val="0"/>
                <w:i w:val="0"/>
                <w:iCs w:val="0"/>
                <w:smallCaps w:val="0"/>
                <w:color w:val="000000"/>
                <w:lang w:val="el" w:eastAsia="el"/>
              </w:rPr>
            </w:pPr>
            <w:r>
              <w:rPr>
                <w:b/>
                <w:bCs/>
                <w:i w:val="0"/>
                <w:iCs w:val="0"/>
                <w:smallCaps w:val="0"/>
                <w:color w:val="000000"/>
                <w:lang w:val="el" w:eastAsia="el"/>
              </w:rPr>
              <w:t>ΥΠΟΥΡΓΟΣ</w:t>
            </w:r>
          </w:p>
          <w:p>
            <w:pPr>
              <w:spacing w:before="240"/>
              <w:rPr>
                <w:b w:val="0"/>
                <w:bCs w:val="0"/>
                <w:i w:val="0"/>
                <w:iCs w:val="0"/>
                <w:smallCaps w:val="0"/>
                <w:color w:val="000000"/>
                <w:lang w:val="el" w:eastAsia="el"/>
              </w:rPr>
            </w:pPr>
            <w:r>
              <w:rPr>
                <w:b/>
                <w:bCs/>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ΥΠΟΥΡΓΟΣ ΑΓΡΟΤΙΚΗΣ</w:t>
            </w:r>
          </w:p>
          <w:p>
            <w:pPr>
              <w:spacing w:before="240"/>
              <w:rPr>
                <w:b w:val="0"/>
                <w:bCs w:val="0"/>
                <w:i w:val="0"/>
                <w:iCs w:val="0"/>
                <w:smallCaps w:val="0"/>
                <w:color w:val="000000"/>
                <w:lang w:val="el" w:eastAsia="el"/>
              </w:rPr>
            </w:pPr>
            <w:r>
              <w:rPr>
                <w:b/>
                <w:bCs/>
                <w:i w:val="0"/>
                <w:iCs w:val="0"/>
                <w:smallCaps w:val="0"/>
                <w:color w:val="000000"/>
                <w:lang w:val="el" w:eastAsia="el"/>
              </w:rPr>
              <w:t>ΑΝΑΠΤΥΞΗΣ &amp;ΤΡ0ΦΙΜΩΝ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ΔΙΟΙΚΗΤΗΣ ΤΗΣ</w:t>
            </w:r>
          </w:p>
          <w:p>
            <w:pPr>
              <w:spacing w:before="240"/>
              <w:rPr>
                <w:b w:val="0"/>
                <w:bCs w:val="0"/>
                <w:i w:val="0"/>
                <w:iCs w:val="0"/>
                <w:smallCaps w:val="0"/>
                <w:color w:val="000000"/>
                <w:lang w:val="el" w:eastAsia="el"/>
              </w:rPr>
            </w:pPr>
            <w:r>
              <w:rPr>
                <w:b/>
                <w:bCs/>
                <w:i w:val="0"/>
                <w:iCs w:val="0"/>
                <w:smallCaps w:val="0"/>
                <w:color w:val="000000"/>
                <w:lang w:val="el" w:eastAsia="el"/>
              </w:rPr>
              <w:t>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ΠΙΤΣΙΛΗΣ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 Τμήμα Β΄ β) Δ/νση Ανάπτυξης Φορολογικών Εφαρμογών, Τμήμα Ε΄</w:t>
      </w:r>
    </w:p>
    <w:p>
      <w:pPr>
        <w:pStyle w:val="MainText"/>
        <w:spacing w:before="120" w:after="0"/>
        <w:rPr>
          <w:lang w:val="el" w:eastAsia="el"/>
        </w:rPr>
      </w:pPr>
      <w:r>
        <w:rPr>
          <w:b/>
          <w:bCs/>
          <w:lang w:val="el" w:eastAsia="el"/>
        </w:rPr>
        <w:t>3.</w:t>
      </w:r>
      <w:r>
        <w:rPr>
          <w:lang w:val="el" w:eastAsia="el"/>
        </w:rPr>
        <w:t xml:space="preserve"> </w:t>
      </w:r>
      <w:r>
        <w:rPr>
          <w:b/>
          <w:bCs/>
          <w:lang w:val="el" w:eastAsia="el"/>
        </w:rPr>
        <w:t>Τράπεζα της Ελλάδος – Δ/νση Εργασιών Δημοσίου (e-mail :</w:t>
      </w:r>
      <w:hyperlink r:id="rId4" w:history="1">
        <w:r>
          <w:rPr>
            <w:rStyle w:val="Hyperlink"/>
            <w:b/>
            <w:bCs/>
            <w:color w:val="0000EE"/>
            <w:u w:color="0000EE"/>
            <w:lang w:val="el" w:eastAsia="el"/>
          </w:rPr>
          <w:t xml:space="preserve">Egatzonas@ bankofgreece.g </w:t>
        </w:r>
        <w:r>
          <w:rPr>
            <w:rStyle w:val="Hyperlink"/>
            <w:b/>
            <w:bCs/>
            <w:color w:val="0000EE"/>
            <w:u w:color="0000EE"/>
            <w:lang w:val="el" w:eastAsia="el"/>
          </w:rPr>
          <w:t>)</w:t>
        </w:r>
      </w:hyperlink>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ΔΙΑΣ Α.Ε. – Γενική Δ/νση Συστήματος Πληρωμών – Δ/νση Λειτουργιών (e-mail :</w:t>
      </w:r>
      <w:hyperlink r:id="rId5" w:history="1">
        <w:r>
          <w:rPr>
            <w:rStyle w:val="Hyperlink"/>
            <w:b/>
            <w:bCs/>
            <w:color w:val="0000EE"/>
            <w:u w:color="0000EE"/>
            <w:lang w:val="el" w:eastAsia="el"/>
          </w:rPr>
          <w:t xml:space="preserve">diasbo@ dias.com .g </w:t>
        </w:r>
        <w:r>
          <w:rPr>
            <w:rStyle w:val="Hyperlink"/>
            <w:b/>
            <w:bCs/>
            <w:color w:val="0000EE"/>
            <w:u w:color="0000EE"/>
            <w:lang w:val="el" w:eastAsia="el"/>
          </w:rPr>
          <w:t>)</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Στρατηγικής Τεχνολογιών Πληροφορικής (ΔΙ.Σ.ΤΕ.ΠΛ) της Γ.Δ.ΗΛΕ.Δ. (για ενημέρωση της</w:t>
      </w:r>
    </w:p>
    <w:p>
      <w:pPr>
        <w:spacing w:before="240" w:after="240"/>
        <w:rPr>
          <w:lang w:val="el" w:eastAsia="el"/>
        </w:rPr>
      </w:pPr>
      <w:r>
        <w:rPr>
          <w:b/>
          <w:bCs/>
          <w:lang w:val="el" w:eastAsia="el"/>
        </w:rPr>
        <w:t>Ηλεκτρονικής Βιβλιοθήκης και του portal της ΑΑΔΕ e-mail:</w:t>
      </w:r>
      <w:hyperlink r:id="rId6" w:history="1">
        <w:r>
          <w:rPr>
            <w:rStyle w:val="Hyperlink"/>
            <w:b/>
            <w:bCs/>
            <w:color w:val="0000EE"/>
            <w:u w:color="0000EE"/>
            <w:lang w:val="el" w:eastAsia="el"/>
          </w:rPr>
          <w:t xml:space="preserve">siteadmin@ aade .g </w:t>
        </w:r>
        <w:r>
          <w:rPr>
            <w:rStyle w:val="Hyperlink"/>
            <w:b/>
            <w:bCs/>
            <w:color w:val="0000EE"/>
            <w:u w:color="0000EE"/>
            <w:lang w:val="el" w:eastAsia="el"/>
          </w:rPr>
          <w:t>)</w:t>
        </w:r>
      </w:hyperlink>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Αναπληρωτή 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Αγροτικής Ανάπτυξης &amp; Τροφίμων email:</w:t>
      </w:r>
      <w:hyperlink r:id="rId7" w:history="1">
        <w:r>
          <w:rPr>
            <w:rStyle w:val="Hyperlink"/>
            <w:b/>
            <w:bCs/>
            <w:color w:val="0000EE"/>
            <w:u w:color="0000EE"/>
            <w:lang w:val="el" w:eastAsia="el"/>
          </w:rPr>
          <w:t>pgolfinopoulou@hg.minagric.gr</w:t>
        </w:r>
      </w:hyperlink>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Δ΄ εκτός ΔΔΔΥ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Δ/νση Ηλεκτρονικής Διακυβέρνησης (ΓΔΗΛΕΔ),</w:t>
      </w:r>
    </w:p>
    <w:p>
      <w:pPr>
        <w:spacing w:before="240" w:after="240"/>
        <w:rPr>
          <w:lang w:val="el" w:eastAsia="el"/>
        </w:rPr>
      </w:pPr>
      <w:r>
        <w:rPr>
          <w:b/>
          <w:bCs/>
          <w:lang w:val="el" w:eastAsia="el"/>
        </w:rPr>
        <w:t>Δ/νση Επιχειρησιακών Διαδικασιών (ΔΙ.ΕΠΙ.ΔΙ.), Υποδιεύθυνση Α΄ Απαιτήσεων και Ελέγχου Εφαρμογών Φορολογίας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Φορολογικής Διοίκησης</w:t>
      </w:r>
    </w:p>
    <w:p>
      <w:pPr>
        <w:spacing w:before="240" w:after="240"/>
        <w:rPr>
          <w:lang w:val="el" w:eastAsia="el"/>
        </w:rPr>
      </w:pPr>
      <w:r>
        <w:rPr>
          <w:b/>
          <w:bCs/>
          <w:lang w:val="el" w:eastAsia="el"/>
        </w:rPr>
        <w:t>Διεύθυνση Εισπράξεων και Επιστροφών, Τμήματα Α΄,Β΄&amp; Δ΄</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Γενική Δ/νση Σώματος Δίωξης Οικονομικού Εγκλήματος (ΣΔΟΕ) του Υπουργείου Οικονομικών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Φορολογική και Τελωνειακή Ακαδημία</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Αποκεντρωμένων Δομών</w:t>
      </w:r>
    </w:p>
    <w:p>
      <w:pPr>
        <w:pStyle w:val="StructureList1"/>
        <w:spacing w:before="120" w:after="0"/>
        <w:rPr>
          <w:lang w:val="el" w:eastAsia="el"/>
        </w:rPr>
      </w:pPr>
      <w:r>
        <w:rPr>
          <w:b/>
          <w:bCs/>
          <w:lang w:val="el" w:eastAsia="el"/>
        </w:rPr>
        <w:t>γ)</w:t>
      </w:r>
      <w:r>
        <w:rPr>
          <w:b/>
          <w:bCs/>
          <w:lang w:val="en" w:eastAsia="en"/>
        </w:rPr>
        <w:tab/>
      </w:r>
      <w:r>
        <w:rPr>
          <w:b/>
          <w:bCs/>
          <w:lang w:val="el" w:eastAsia="el"/>
        </w:rPr>
        <w:t>Γενική Διεύθυνση Αγροτικής Ανάπτυξης</w:t>
      </w:r>
    </w:p>
    <w:p>
      <w:pPr>
        <w:spacing w:before="240" w:after="240"/>
        <w:rPr>
          <w:lang w:val="el" w:eastAsia="el"/>
        </w:rPr>
      </w:pPr>
      <w:r>
        <w:rPr>
          <w:b/>
          <w:bCs/>
          <w:lang w:val="el" w:eastAsia="el"/>
        </w:rPr>
        <w:t>Διεύθυνση Εγγείων Βελτιώσεων και Εδαφοϋδάτινων Πόρων</w:t>
      </w:r>
    </w:p>
    <w:p>
      <w:pPr>
        <w:spacing w:before="240" w:after="240"/>
        <w:rPr>
          <w:lang w:val="el" w:eastAsia="el"/>
        </w:rPr>
      </w:pPr>
      <w:r>
        <w:rPr>
          <w:b/>
          <w:bCs/>
          <w:lang w:val="el" w:eastAsia="el"/>
        </w:rPr>
        <w:t>Αχαρνών 2 101 76</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Υπουργείο Οικονομικών</w:t>
      </w:r>
    </w:p>
    <w:p>
      <w:pPr>
        <w:spacing w:before="240" w:after="240"/>
        <w:rPr>
          <w:lang w:val="el" w:eastAsia="el"/>
        </w:rPr>
      </w:pPr>
      <w:r>
        <w:rPr>
          <w:b/>
          <w:bCs/>
          <w:lang w:val="el" w:eastAsia="el"/>
        </w:rPr>
        <w:t>Γενικό Λογιστήριο του Κράτους</w:t>
      </w:r>
    </w:p>
    <w:p>
      <w:pPr>
        <w:spacing w:before="240" w:after="240"/>
        <w:rPr>
          <w:lang w:val="el" w:eastAsia="el"/>
        </w:rPr>
      </w:pPr>
      <w:r>
        <w:rPr>
          <w:b/>
          <w:bCs/>
          <w:lang w:val="el" w:eastAsia="el"/>
        </w:rPr>
        <w:t>Γενική Διεύθυνση Θησαυροφυλακίου &amp; Δημοσιονομικών Κανόνων</w:t>
      </w:r>
    </w:p>
    <w:p>
      <w:pPr>
        <w:spacing w:before="240" w:after="240"/>
        <w:rPr>
          <w:lang w:val="el" w:eastAsia="el"/>
        </w:rPr>
      </w:pPr>
      <w:r>
        <w:rPr>
          <w:b/>
          <w:bCs/>
          <w:lang w:val="el" w:eastAsia="el"/>
        </w:rPr>
        <w:t>Δ/νση Λογαριασμών &amp; Ταμειακού Προγραμματισμού</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hyperlink r:id="rId8" w:history="1">
        <w:r>
          <w:rPr>
            <w:rStyle w:val="Hyperlink"/>
            <w:b/>
            <w:bCs/>
            <w:color w:val="0000EE"/>
            <w:u w:color="0000EE"/>
            <w:lang w:val="el" w:eastAsia="el"/>
          </w:rPr>
          <w:t>eirini.koutrou @ opekepe.gr</w:t>
        </w:r>
      </w:hyperlink>
    </w:p>
    <w:p>
      <w:pPr>
        <w:spacing w:before="240" w:after="240"/>
        <w:rPr>
          <w:lang w:val="el" w:eastAsia="el"/>
        </w:rPr>
      </w:pPr>
      <w:hyperlink r:id="rId9" w:history="1">
        <w:r>
          <w:rPr>
            <w:rStyle w:val="Hyperlink"/>
            <w:b/>
            <w:bCs/>
            <w:color w:val="0000EE"/>
            <w:u w:color="0000EE"/>
            <w:lang w:val="el" w:eastAsia="el"/>
          </w:rPr>
          <w:t>theoni.tzegiannaki@ opekepe.gr</w:t>
        </w:r>
      </w:hyperlink>
    </w:p>
    <w:p>
      <w:pPr>
        <w:pStyle w:val="MainText"/>
        <w:spacing w:before="120" w:after="0"/>
        <w:rPr>
          <w:lang w:val="el" w:eastAsia="el"/>
        </w:rPr>
      </w:pPr>
      <w:r>
        <w:rPr>
          <w:b/>
          <w:bCs/>
          <w:lang w:val="el" w:eastAsia="el"/>
        </w:rPr>
        <w:t>19.</w:t>
      </w:r>
      <w:r>
        <w:rPr>
          <w:b/>
          <w:bCs/>
          <w:lang w:val="el" w:eastAsia="el"/>
        </w:rPr>
        <w:t xml:space="preserve"> </w:t>
      </w:r>
      <w:r>
        <w:rPr>
          <w:b/>
          <w:bCs/>
          <w:lang w:val="el" w:eastAsia="el"/>
        </w:rPr>
        <w:t>ΕΘΝΙΚΗ ΕΝΩΣΗ ΑΓΡΟΤΙΚΩΝ ΣΥΝΕΤΑΙΡΙΣΜΩΝ (ΕΘ.Ε.Α.Σ.)</w:t>
      </w:r>
    </w:p>
    <w:p>
      <w:pPr>
        <w:spacing w:before="240" w:after="240"/>
        <w:rPr>
          <w:lang w:val="el" w:eastAsia="el"/>
        </w:rPr>
      </w:pPr>
      <w:r>
        <w:rPr>
          <w:b/>
          <w:bCs/>
          <w:lang w:val="el" w:eastAsia="el"/>
        </w:rPr>
        <w:t>Αρκαδίας 26 ΤΚ 115 26</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etheas.greece@gmail.com</w:t>
        </w:r>
      </w:hyperlink>
    </w:p>
    <w:p>
      <w:pPr>
        <w:spacing w:before="240" w:after="240"/>
        <w:rPr>
          <w:lang w:val="el" w:eastAsia="el"/>
        </w:rPr>
      </w:pPr>
      <w:r>
        <w:rPr>
          <w:b/>
          <w:bCs/>
          <w:lang w:val="el" w:eastAsia="el"/>
        </w:rPr>
        <w:t>(με την παράκληση να ενημερωθούν τα μέλη της)</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theas.greece@gmail.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gatzonas@bankofgreece.gr" TargetMode="External" /><Relationship Id="rId5" Type="http://schemas.openxmlformats.org/officeDocument/2006/relationships/hyperlink" Target="mailto:diasbo@dias.com.gr" TargetMode="External" /><Relationship Id="rId6" Type="http://schemas.openxmlformats.org/officeDocument/2006/relationships/hyperlink" Target="mailto:siteadmin@aade.gr" TargetMode="External" /><Relationship Id="rId7" Type="http://schemas.openxmlformats.org/officeDocument/2006/relationships/hyperlink" Target="mailto:pgolfinopoulou@hg.minagric.gr" TargetMode="External" /><Relationship Id="rId8" Type="http://schemas.openxmlformats.org/officeDocument/2006/relationships/hyperlink" Target="mailto:eirini.koutrou@opekepe.gr" TargetMode="External" /><Relationship Id="rId9" Type="http://schemas.openxmlformats.org/officeDocument/2006/relationships/hyperlink" Target="mailto:theoni.tzegiannaki@opeke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