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lang w:val="el" w:eastAsia="el"/>
        </w:rPr>
        <w:t xml:space="preserve">1. </w:t>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1)ΔΙΕΥΘΥΝΣΗ ΕΠΙΧΕΙΡΗΣΙΑΚΩΝ</w:t>
      </w:r>
    </w:p>
    <w:p>
      <w:pPr>
        <w:pStyle w:val="PreambelText"/>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ΑΔΑ: ΨΜ3Τ46ΜΠ3Ζ-ΘΞΗ</w:t>
      </w:r>
    </w:p>
    <w:p>
      <w:pPr>
        <w:spacing w:before="240" w:after="240"/>
        <w:rPr>
          <w:lang w:val="el" w:eastAsia="el"/>
        </w:rPr>
      </w:pPr>
      <w:r>
        <w:rPr>
          <w:b/>
          <w:bCs/>
          <w:lang w:val="el" w:eastAsia="el"/>
        </w:rPr>
        <w:t>Αριθ. ΦΕΚ: 5032 Β΄/27-9-2022</w:t>
      </w:r>
    </w:p>
    <w:p>
      <w:pPr>
        <w:spacing w:before="240" w:after="240"/>
        <w:rPr>
          <w:lang w:val="el" w:eastAsia="el"/>
        </w:rPr>
      </w:pPr>
      <w:r>
        <w:rPr>
          <w:b/>
          <w:bCs/>
          <w:lang w:val="el" w:eastAsia="el"/>
        </w:rPr>
        <w:t>Αθήνα, 22 Σεπτεμβρίου 2022</w:t>
      </w:r>
    </w:p>
    <w:p>
      <w:pPr>
        <w:spacing w:before="240" w:after="240"/>
        <w:rPr>
          <w:lang w:val="el" w:eastAsia="el"/>
        </w:rPr>
      </w:pPr>
      <w:r>
        <w:rPr>
          <w:b/>
          <w:bCs/>
          <w:lang w:val="el" w:eastAsia="el"/>
        </w:rPr>
        <w:t>Α.1127</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2103635963,</w:t>
      </w:r>
    </w:p>
    <w:p>
      <w:pPr>
        <w:spacing w:before="240" w:after="240"/>
        <w:rPr>
          <w:lang w:val="el" w:eastAsia="el"/>
        </w:rPr>
      </w:pPr>
      <w:r>
        <w:rPr>
          <w:b/>
          <w:bCs/>
          <w:lang w:val="el" w:eastAsia="el"/>
        </w:rPr>
        <w:t>2103605159,2103630573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 xml:space="preserve">ΘΕΜΑ: «Παράταση καταβολής και αναστολή είσπραξης βεβαιωμένων οφειλών για τα φυσικά και νομικά πρόσωπα που επλήγησαν από την πυρκαγιά της 19 </w:t>
      </w:r>
      <w:r>
        <w:rPr>
          <w:b/>
          <w:bCs/>
          <w:sz w:val="30"/>
          <w:szCs w:val="30"/>
          <w:vertAlign w:val="superscript"/>
          <w:lang w:val="el" w:eastAsia="el"/>
        </w:rPr>
        <w:t xml:space="preserve">ης </w:t>
      </w:r>
      <w:r>
        <w:rPr>
          <w:b/>
          <w:bCs/>
          <w:lang w:val="el" w:eastAsia="el"/>
        </w:rPr>
        <w:t>Ιουλίου 2022 σε περιοχές των Περιφερειακών Ενοτήτων Βορείου Τομέα Αθηνών και Ανατολικής Αττικής, της Περιφέρειας Αττικής»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Το άρθρο 8 του ν. 1284/1982 «Ρύθμιση ορισμένων μισθολογικών, φορολογικών, δασμολογικών και δημοσιολογιστικών θεμάτων» (Α΄ 114), με το οποίο, σε εξαιρετικές</w:t>
      </w:r>
    </w:p>
    <w:p>
      <w:pPr>
        <w:spacing w:before="240" w:after="240"/>
        <w:rPr>
          <w:lang w:val="el" w:eastAsia="el"/>
        </w:rPr>
      </w:pPr>
      <w:r>
        <w:rPr>
          <w:b/>
          <w:bCs/>
          <w:lang w:val="el" w:eastAsia="el"/>
        </w:rPr>
        <w:t>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b/>
          <w:bCs/>
          <w:lang w:val="el" w:eastAsia="el"/>
        </w:rPr>
        <w:t xml:space="preserve">2. </w:t>
      </w:r>
      <w:r>
        <w:rPr>
          <w:b/>
          <w:bCs/>
          <w:lang w:val="el" w:eastAsia="el"/>
        </w:rPr>
        <w:t>Την παρ. 5 του άρθρου πέμπτου του ν.2275/1994 «Κύρωση των από 31.12.1993 και 06.07.1994 πέντε δανειακών Συμβάσεων μεταξύ του Ελληνικού Δημοσίου και της Τράπεζας της Ελλάδος και άλλες διατάξεις» (Α΄ 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Το ν.δ. 356/1974 «Περί Κώδικος Εισπράξεως Δημοσίων Εσόδων» (Κ.Ε.Δ.Ε.- Α΄ 90).</w:t>
      </w:r>
    </w:p>
    <w:p>
      <w:pPr>
        <w:spacing w:before="240" w:after="240"/>
        <w:rPr>
          <w:lang w:val="el" w:eastAsia="el"/>
        </w:rPr>
      </w:pPr>
      <w:r>
        <w:rPr>
          <w:b/>
          <w:bCs/>
          <w:lang w:val="el" w:eastAsia="el"/>
        </w:rPr>
        <w:t xml:space="preserve">4. </w:t>
      </w:r>
      <w:r>
        <w:rPr>
          <w:b/>
          <w:bCs/>
          <w:lang w:val="el" w:eastAsia="el"/>
        </w:rPr>
        <w:t>Τον ν. 4174/2013 «Φορολογικές διαδικασίες και άλλες διατάξεις (Κ.Φ.Δ.- Α΄ 170).</w:t>
      </w:r>
    </w:p>
    <w:p>
      <w:pPr>
        <w:spacing w:before="240" w:after="240"/>
        <w:rPr>
          <w:lang w:val="el" w:eastAsia="el"/>
        </w:rPr>
      </w:pPr>
      <w:r>
        <w:rPr>
          <w:b/>
          <w:bCs/>
          <w:lang w:val="el" w:eastAsia="el"/>
        </w:rPr>
        <w:t xml:space="preserve">5. </w:t>
      </w:r>
      <w:r>
        <w:rPr>
          <w:b/>
          <w:bCs/>
          <w:lang w:val="el" w:eastAsia="el"/>
        </w:rPr>
        <w:t>Τον ν.4389/2016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b/>
          <w:bCs/>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11.Την υπό στοιχεία 254809/Δ.Α.Ε.Φ.Κ.-Κ.Ε./Α325/2022 (Β΄4332) Κοινή Υπουργική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κτήρια από την πυρκαγιά της 19ης Ιουλίου 2022 σε περιοχές των Περιφερειακών Ενοτήτων Βορείου Τομέα Αθηνών και Ανατολικής Αττικής, της Περιφέρειας Αττικής».</w:t>
      </w:r>
    </w:p>
    <w:p>
      <w:pPr>
        <w:spacing w:before="240" w:after="240"/>
        <w:rPr>
          <w:lang w:val="el" w:eastAsia="el"/>
        </w:rPr>
      </w:pPr>
      <w:r>
        <w:rPr>
          <w:b/>
          <w:bCs/>
          <w:lang w:val="el" w:eastAsia="el"/>
        </w:rPr>
        <w:t xml:space="preserve">12. </w:t>
      </w:r>
      <w:r>
        <w:rPr>
          <w:b/>
          <w:bCs/>
          <w:lang w:val="el" w:eastAsia="el"/>
        </w:rPr>
        <w:t>Την από 1</w:t>
      </w:r>
      <w:r>
        <w:rPr>
          <w:b/>
          <w:bCs/>
          <w:sz w:val="30"/>
          <w:szCs w:val="30"/>
          <w:vertAlign w:val="superscript"/>
          <w:lang w:val="el" w:eastAsia="el"/>
        </w:rPr>
        <w:t>η</w:t>
      </w:r>
      <w:r>
        <w:rPr>
          <w:b/>
          <w:bCs/>
          <w:lang w:val="el" w:eastAsia="el"/>
        </w:rPr>
        <w:t xml:space="preserve"> Σεπτεμβρίου 2022 εισήγηση της Κυβερνητικής Επιτροπής Κρατικής Αρωγής του άρθρου 13 του ν. 4797/2021 (Α΄66).</w:t>
      </w:r>
    </w:p>
    <w:p>
      <w:pPr>
        <w:spacing w:before="240" w:after="240"/>
        <w:rPr>
          <w:lang w:val="el" w:eastAsia="el"/>
        </w:rPr>
      </w:pPr>
      <w:r>
        <w:rPr>
          <w:b/>
          <w:bCs/>
          <w:lang w:val="el" w:eastAsia="el"/>
        </w:rPr>
        <w:t xml:space="preserve">13. </w:t>
      </w:r>
      <w:r>
        <w:rPr>
          <w:b/>
          <w:bCs/>
          <w:lang w:val="el" w:eastAsia="el"/>
        </w:rPr>
        <w:t>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b/>
          <w:bCs/>
          <w:lang w:val="el" w:eastAsia="el"/>
        </w:rPr>
        <w:t xml:space="preserve">14.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Παρατείνονται μέχρι και τις 19-01-2023 οι προθεσμίες καταβολής των βεβαιωμένων στις Δ.Ο.Υ./Κ.Ε.ΜΕ.ΕΠ./Κ.Ε.ΦΟ.ΜΕ.Π./ΚΕ.Β.ΕΙΣ. οφειλών των φυσικών και νομικών προσώπων και οντοτήτων που περιλαμβάνονται στον πίνακα του Υπουργείου Υποδομών και Μεταφορών με τα στοιχεία των πληγέντων από την πυρκαγιά της 19ης Ιουλίου 2022 για τις περιοχές της Περιφερειακής Ενότητας του Βορείου Τομέα Αθηνών και Ανατολικής Αττικής, όπως αυτός διαμορφώθηκε βάσει της υπό στοιχείο 254809/Δ.Α.Ε.Φ.Κ.-Κ.Ε./Α325 Κοινής Απόφασης των Υπουργών Οικονομικών, Ανάπτυξης και Επενδύσεων, Εσωτερικών, Υποδομών και Μεταφορών από τις υπηρεσίες του Υπουργείου Υποδομών και Μεταφορών, που λήγουν ή έληξαν από 1907-2022 μέχρι και 19-01-2023.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τα πρόσωπα της προηγούμενης παραγράφου οι δόσεις ρυθμίσεων/διευκολύνσεων τμηματικής καταβολής που λήγουν ή έληξαν από 19-072022 μέχρι και 19-01-2023, παρατείνονται μετά το πέρας του προγράμματος ρύθμισης. 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Αναστέλλεται μέχρι και την 19-01-2023 η πληρωμή των βεβαιωμένων και ληξιπρόθεσμων την 19-07-2022 οφειλών των προαναφερθέντων προσώπων και οντοτήτων.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Τυχόν καταβληθείσες προσαυξήσεις/τόκοι /επιβαρύνσεις εκπρόθεσμης καταβολής που επιβλήθηκαν στις οφειλές των παρ. 1 &amp; 2, από τις 19/07/2022 μέχρι την ημερομηνία ισχύος της παρούσας, επιστρέφονται ύστερα από σχετική αίτηση του φορολογούμενου στην αρμόδια υπηρεσία. Ρυθμίσεις που τυχόν απωλέσθηκαν από τις 19/07/2022 μέχρι την ημερομηνία ισχύος της παρούσας αναβιώνουν ύστερα από σχετική αίτηση του φορολογούμενου στην αρμόδια υπηρεσία προκειμένου εν συνεχεία αυτές να ενταχθούν στις διατάξεις της παρ. 2 της παρούσας.»</w:t>
      </w:r>
    </w:p>
    <w:p>
      <w:pPr>
        <w:spacing w:before="240" w:after="240"/>
        <w:rPr>
          <w:lang w:val="el" w:eastAsia="el"/>
        </w:rPr>
      </w:pPr>
      <w:r>
        <w:rPr>
          <w:b/>
          <w:bCs/>
          <w:lang w:val="el" w:eastAsia="el"/>
        </w:rPr>
        <w:t>Η απόφαση αυτή να δημοσιευθεί στην Εφημερίδα της Κυβερνήσεως. 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Εισπράξεων- Τμήματα Α, Β, Γ, Δ, Ε, Γραμματεία</w:t>
      </w:r>
    </w:p>
    <w:p>
      <w:pPr>
        <w:spacing w:before="240" w:after="240"/>
        <w:rPr>
          <w:lang w:val="el" w:eastAsia="el"/>
        </w:rPr>
      </w:pPr>
      <w:r>
        <w:rPr>
          <w:b/>
          <w:bCs/>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