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sz w:val="30"/>
          <w:szCs w:val="30"/>
          <w:vertAlign w:val="subscript"/>
          <w:lang w:val="el" w:eastAsia="el"/>
        </w:rPr>
        <w:t>■</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Α.ΔΙΕΥΘΥΝΣΗ ΔΑΣΜΟΛΟΓΙΚΩΝ ΘΕΜΑΤΩΝ</w:t>
      </w:r>
    </w:p>
    <w:p>
      <w:pPr>
        <w:pStyle w:val="PreambelText"/>
        <w:spacing w:before="240" w:after="240"/>
        <w:rPr>
          <w:lang w:val="el" w:eastAsia="el"/>
        </w:rPr>
      </w:pPr>
      <w:r>
        <w:rPr>
          <w:b/>
          <w:bCs/>
          <w:lang w:val="el" w:eastAsia="el"/>
        </w:rPr>
        <w:t>ΕΙΔΙΚΩΝ ΚΑΘΕΣΤΩΝ ΚΑΙ ΑΠΑΛΛΑΓΩΝ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ΔΑΣΜΟΛΟΓΙΚΩΝ ΚΑΙ</w:t>
      </w:r>
    </w:p>
    <w:p>
      <w:pPr>
        <w:spacing w:before="240" w:after="240"/>
        <w:rPr>
          <w:lang w:val="el" w:eastAsia="el"/>
        </w:rPr>
      </w:pPr>
      <w:r>
        <w:rPr>
          <w:b/>
          <w:bCs/>
          <w:lang w:val="el" w:eastAsia="el"/>
        </w:rPr>
        <w:t>ΦΟΡΟΛΟΓΙΚΩΝ ΑΠΑΛΛΑΓΩΝ</w:t>
      </w:r>
    </w:p>
    <w:p>
      <w:pPr>
        <w:spacing w:before="240" w:after="240"/>
        <w:rPr>
          <w:lang w:val="el" w:eastAsia="el"/>
        </w:rPr>
      </w:pPr>
      <w:r>
        <w:rPr>
          <w:b/>
          <w:bCs/>
          <w:lang w:val="el" w:eastAsia="el"/>
        </w:rPr>
        <w:t>Β. ΔΙΕΥΘΥΝΣΗ ΕΙΔΙΚΩΝ ΦΟΡΩΝ</w:t>
      </w:r>
    </w:p>
    <w:p>
      <w:pPr>
        <w:spacing w:before="240" w:after="240"/>
        <w:rPr>
          <w:lang w:val="el" w:eastAsia="el"/>
        </w:rPr>
      </w:pPr>
      <w:r>
        <w:rPr>
          <w:b/>
          <w:bCs/>
          <w:lang w:val="el" w:eastAsia="el"/>
        </w:rPr>
        <w:t>ΚΑΤΑΝΑΛΩΣΗΣ ΚΑΙ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Φ.Π.Α.ΕΙΣΑΓΩΓΩΝ ΕΞΑΓΩΓΩΝ</w:t>
      </w:r>
    </w:p>
    <w:p>
      <w:pPr>
        <w:spacing w:before="240" w:after="240"/>
        <w:rPr>
          <w:lang w:val="el" w:eastAsia="el"/>
        </w:rPr>
      </w:pPr>
      <w:r>
        <w:rPr>
          <w:b/>
          <w:bCs/>
          <w:lang w:val="el" w:eastAsia="el"/>
        </w:rPr>
        <w:t>ΑΔΑ: Ω29546ΜΠ3Ζ-5Θ4</w:t>
      </w:r>
    </w:p>
    <w:p>
      <w:pPr>
        <w:spacing w:before="240" w:after="240"/>
        <w:rPr>
          <w:lang w:val="el" w:eastAsia="el"/>
        </w:rPr>
      </w:pPr>
      <w:r>
        <w:rPr>
          <w:b/>
          <w:bCs/>
          <w:lang w:val="el" w:eastAsia="el"/>
        </w:rPr>
        <w:t>Αριθ. ΦΕΚ: Β’ 5Ι50/04-10-2022</w:t>
      </w:r>
    </w:p>
    <w:p>
      <w:pPr>
        <w:spacing w:before="240" w:after="240"/>
        <w:rPr>
          <w:lang w:val="el" w:eastAsia="el"/>
        </w:rPr>
      </w:pPr>
      <w:r>
        <w:rPr>
          <w:b/>
          <w:bCs/>
          <w:lang w:val="el" w:eastAsia="el"/>
        </w:rPr>
        <w:t>Αθήνα, 27/09/2022</w:t>
      </w:r>
    </w:p>
    <w:p>
      <w:pPr>
        <w:spacing w:before="240" w:after="240"/>
        <w:rPr>
          <w:lang w:val="el" w:eastAsia="el"/>
        </w:rPr>
      </w:pPr>
      <w:r>
        <w:rPr>
          <w:b/>
          <w:bCs/>
          <w:lang w:val="el" w:eastAsia="el"/>
        </w:rPr>
        <w:t>Αριθ. Πρωτ.:Α.1131</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«Όροι, προϋποθέσεις, δικαιολογητικά, ποσότητες και διαδικασία παραλαβής αλκοολούχων ποτών και καπνικών προϊόντων με απαλλαγή από τις δασμοφο- ρολογικές επιβαρύνσεις από την Ευρωπαϊκή Υπηρεσία Υποστήριξης για το Άσυλο (EASO) στο πλαίσιο Συμφωνίας Έδρας με την Κυβέρνηση της Ελληνικής Δημοκρατίας για τη λειτουργία του επιχειρησιακού της γραφείου στην Ελλάδα»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5 του άρθρου 8 του ν.4697/2020 (Α’ 120) για την «Κύρωση της Συμφωνίας για την έδρα μεταξύ της Ελληνικής Δημοκρατίας και της Ευρωπαϊκής Υπηρεσίας Υποστήριξης για το Άσυλο (EASO) για την λειτουργία επιχειρησιακού γραφείου της EASO στην Ελλάδα»,</w:t>
      </w:r>
    </w:p>
    <w:p>
      <w:pPr>
        <w:pStyle w:val="StructureList1"/>
        <w:spacing w:before="120" w:after="0"/>
        <w:rPr>
          <w:lang w:val="el" w:eastAsia="el"/>
        </w:rPr>
      </w:pPr>
      <w:r>
        <w:rPr>
          <w:lang w:val="el" w:eastAsia="el"/>
        </w:rPr>
        <w:t>β)</w:t>
      </w:r>
      <w:r>
        <w:rPr>
          <w:lang w:val="en" w:eastAsia="en"/>
        </w:rPr>
        <w:tab/>
      </w:r>
      <w:r>
        <w:rPr>
          <w:b/>
          <w:bCs/>
          <w:lang w:val="el" w:eastAsia="el"/>
        </w:rPr>
        <w:t>της περ. β’) της παρ. 1 του άρθρου 68 του ν.2960/2001 «Εθνικός Τελωνειακός Κώδικας»(Α’ 265),</w:t>
      </w:r>
    </w:p>
    <w:p>
      <w:pPr>
        <w:pStyle w:val="StructureList1"/>
        <w:spacing w:before="120" w:after="0"/>
        <w:rPr>
          <w:lang w:val="el" w:eastAsia="el"/>
        </w:rPr>
      </w:pPr>
      <w:r>
        <w:rPr>
          <w:lang w:val="el" w:eastAsia="el"/>
        </w:rPr>
        <w:t>γ)</w:t>
      </w:r>
      <w:r>
        <w:rPr>
          <w:lang w:val="en" w:eastAsia="en"/>
        </w:rPr>
        <w:tab/>
      </w:r>
      <w:r>
        <w:rPr>
          <w:b/>
          <w:bCs/>
          <w:lang w:val="el" w:eastAsia="el"/>
        </w:rPr>
        <w:t>του άρθρου 27 του ν.2859/2000 «Κύρωση Κώδικα ΦΠΑ» (Α’ 248) υποπερίπτωση (δδ) της περίπτωσης στ) της παρ. 1, με την οποία ενσωματώνεται στο εθνικό δίκαιο η περίπτωση ζ) της παρ. 1 του άρθρου 143 και η περ. β) της παρ. 1 του άρθρου 151 της Οδηγίας 2006/112/ΕΚ του Συμβουλίου, καθώς και της παρ. 2.</w:t>
      </w:r>
    </w:p>
    <w:p>
      <w:pPr>
        <w:spacing w:before="240" w:after="240"/>
        <w:rPr>
          <w:lang w:val="el" w:eastAsia="el"/>
        </w:rPr>
      </w:pPr>
      <w:r>
        <w:rPr>
          <w:lang w:val="el" w:eastAsia="el"/>
        </w:rPr>
        <w:t xml:space="preserve">2.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3. </w:t>
      </w:r>
      <w:r>
        <w:rPr>
          <w:b/>
          <w:bCs/>
          <w:lang w:val="el" w:eastAsia="el"/>
        </w:rPr>
        <w:t>Το π.δ. 83/2019 «Διορισμός Αντιπροέδρου της Κυβέρνησης, Υπουργών, Αναπληρωτών Υπουργών και Υφυπουργών» (Α’ 121 και Α’ 126 για διόρθωση σφάλματος).</w:t>
      </w:r>
    </w:p>
    <w:p>
      <w:pPr>
        <w:spacing w:before="240" w:after="240"/>
        <w:rPr>
          <w:lang w:val="el" w:eastAsia="el"/>
        </w:rPr>
      </w:pPr>
      <w:r>
        <w:rPr>
          <w:lang w:val="el" w:eastAsia="el"/>
        </w:rPr>
        <w:t xml:space="preserve">4. </w:t>
      </w:r>
      <w:r>
        <w:rPr>
          <w:b/>
          <w:bCs/>
          <w:lang w:val="el" w:eastAsia="el"/>
        </w:rPr>
        <w:t>Την αρ.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5. </w:t>
      </w:r>
      <w:r>
        <w:rPr>
          <w:b/>
          <w:bCs/>
          <w:lang w:val="el" w:eastAsia="el"/>
        </w:rPr>
        <w:t>Την αρ. 339/18.7.2019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 xml:space="preserve">6. </w:t>
      </w:r>
      <w:r>
        <w:rPr>
          <w:b/>
          <w:bCs/>
          <w:lang w:val="el" w:eastAsia="el"/>
        </w:rPr>
        <w:t>Την αρ. Δ.0ΡΓ. Α 1125859 ΕΞ 2020 απόφαση του Διοικητή της Ανεξάρτητης Αρχής Δημοσίων Εσόδων «Οργανισμός της Ανεξάρτητης Αρχής Δημοσίων Εσόδων» (Β’ 4738).</w:t>
      </w:r>
    </w:p>
    <w:p>
      <w:pPr>
        <w:spacing w:before="240" w:after="240"/>
        <w:rPr>
          <w:lang w:val="el" w:eastAsia="el"/>
        </w:rPr>
      </w:pPr>
      <w:r>
        <w:rPr>
          <w:lang w:val="el" w:eastAsia="el"/>
        </w:rPr>
        <w:t xml:space="preserve">7. </w:t>
      </w:r>
      <w:r>
        <w:rPr>
          <w:b/>
          <w:bCs/>
          <w:lang w:val="el" w:eastAsia="el"/>
        </w:rPr>
        <w:t>Τις διατάξεις του Κεφαλαίου Α΄ «Σύσταση της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ιδίως του άρθρου 41..</w:t>
      </w:r>
    </w:p>
    <w:p>
      <w:pPr>
        <w:spacing w:before="240" w:after="240"/>
        <w:rPr>
          <w:lang w:val="el" w:eastAsia="el"/>
        </w:rPr>
      </w:pPr>
      <w:r>
        <w:rPr>
          <w:lang w:val="el" w:eastAsia="el"/>
        </w:rPr>
        <w:t xml:space="preserve">8.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και την υπ. αρ. 39/3/30.11.2017 (Υ.Ο.Δ.Δ. 689) απόφαση του Συμβουλίου Διοίκησης της Ανεξάρτητης Αρχής Δημοσίων Εσόδων και την υπ. αρ. 5294 ΕΞ.2020/17.01.2020 (Υ.Ο.Δ.Δ.27) απόφαση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9. </w:t>
      </w:r>
      <w:r>
        <w:rPr>
          <w:b/>
          <w:bCs/>
          <w:lang w:val="el" w:eastAsia="el"/>
        </w:rPr>
        <w:t>Την ανάγκη καθορισμού των όρων, προϋποθέσεων, δικαιολογητικών , ποσοτήτων, καθώς και της διαδικασίας παραλαβής αλκοολούχων και καπνικών προϊόντων με απαλλαγή από τις δασμοφορολογικές επιβαρύνσεις από την Ευρωπαϊκή Υπηρεσία Υποστήριξης για το Άσυλο (EASO) για τη λειτουργία του επιχειρησιακού της γραφείου στην Ελλάδα.</w:t>
      </w:r>
    </w:p>
    <w:p>
      <w:pPr>
        <w:spacing w:before="240" w:after="240"/>
        <w:rPr>
          <w:lang w:val="el" w:eastAsia="el"/>
        </w:rPr>
      </w:pPr>
      <w:r>
        <w:rPr>
          <w:lang w:val="el" w:eastAsia="el"/>
        </w:rPr>
        <w:t xml:space="preserve">10.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u w:val="single"/>
          <w:lang w:val="el" w:eastAsia="el"/>
        </w:rPr>
        <w:t xml:space="preserve">Άρθρο </w:t>
      </w:r>
      <w:r>
        <w:rPr>
          <w:b/>
          <w:bCs/>
          <w:u w:val="single"/>
          <w:lang w:val="el" w:eastAsia="el"/>
        </w:rPr>
        <w:t>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Οι διατάξεις της παρούσας εφαρμόζονται για χορήγηση απαλλαγής από το δασμό, τον Ειδικό Φόρο Κατανάλωσης (Ε.Φ.Κ.) και τον Φόρο Προστιθέμενης Αξίας (Φ.Π.Α.), για αλκοολούχα ποτά και καπνικά προϊόντα , τα οποία παραλαμβάνονται σε εύλογες ποσότητες στο πλαίσιο της «Συμφωνίας για την έδρα μεταξύ της Κυβέρνησης της Ελληνικής Δημοκρατίας και της Ευρωπαϊκής Υπηρεσίας Υποστήριξης για το Άσυλο (EASO) για τη λειτουργία του επιχειρησιακού της γραφείου στην Ελλάδα», η οποία κυρώθηκε με τον ν. 4697/2020 (Α’ 120).</w:t>
      </w:r>
    </w:p>
    <w:p>
      <w:pPr>
        <w:pStyle w:val="Heading6"/>
        <w:spacing w:before="240" w:after="240"/>
        <w:rPr>
          <w:lang w:val="el" w:eastAsia="el"/>
        </w:rPr>
      </w:pPr>
      <w:r>
        <w:rPr>
          <w:b/>
          <w:bCs/>
          <w:u w:val="single"/>
          <w:lang w:val="el" w:eastAsia="el"/>
        </w:rPr>
        <w:t xml:space="preserve">Άρθρο </w:t>
      </w:r>
      <w:r>
        <w:rPr>
          <w:b/>
          <w:bCs/>
          <w:u w:val="single"/>
          <w:lang w:val="el" w:eastAsia="el"/>
        </w:rPr>
        <w:t>2</w:t>
      </w:r>
    </w:p>
    <w:p>
      <w:pPr>
        <w:pStyle w:val="Heading6"/>
        <w:spacing w:before="240" w:after="240"/>
        <w:rPr>
          <w:lang w:val="el" w:eastAsia="el"/>
        </w:rPr>
      </w:pPr>
      <w:r>
        <w:rPr>
          <w:b/>
          <w:bCs/>
          <w:lang w:val="el" w:eastAsia="el"/>
        </w:rPr>
        <w:t>Δικαιούχα πρόσωπα</w:t>
      </w:r>
    </w:p>
    <w:p>
      <w:pPr>
        <w:spacing w:before="240" w:after="240"/>
        <w:rPr>
          <w:lang w:val="el" w:eastAsia="el"/>
        </w:rPr>
      </w:pPr>
      <w:r>
        <w:rPr>
          <w:b/>
          <w:bCs/>
          <w:lang w:val="el" w:eastAsia="el"/>
        </w:rPr>
        <w:t>Δικαιούχο πρόσωπο για την απαλλαγή από το δασμό, τον Ε.Φ.Κ. και το Φ.Π.Α. των αλκοολούχων ποτών και καπνικών προϊόντων είναι το Επιχειρησιακό Γραφείο της EASO, όπως ορίζεται στην παρ.α) του άρθρου 1 του ν.4697/2020.</w:t>
      </w:r>
    </w:p>
    <w:p>
      <w:pPr>
        <w:pStyle w:val="Heading6"/>
        <w:spacing w:before="240" w:after="240"/>
        <w:rPr>
          <w:lang w:val="el" w:eastAsia="el"/>
        </w:rPr>
      </w:pPr>
      <w:r>
        <w:rPr>
          <w:b/>
          <w:bCs/>
          <w:u w:val="single"/>
          <w:lang w:val="el" w:eastAsia="el"/>
        </w:rPr>
        <w:t xml:space="preserve">Άρθρο </w:t>
      </w:r>
      <w:r>
        <w:rPr>
          <w:b/>
          <w:bCs/>
          <w:u w:val="single"/>
          <w:lang w:val="el" w:eastAsia="el"/>
        </w:rPr>
        <w:t xml:space="preserve">3 </w:t>
      </w:r>
    </w:p>
    <w:p>
      <w:pPr>
        <w:pStyle w:val="Heading6"/>
        <w:spacing w:before="240" w:after="240"/>
        <w:rPr>
          <w:lang w:val="el" w:eastAsia="el"/>
        </w:rPr>
      </w:pPr>
      <w:r>
        <w:rPr>
          <w:b/>
          <w:bCs/>
          <w:lang w:val="el" w:eastAsia="el"/>
        </w:rPr>
        <w:t>Ανώτατες Δικαιούμενες Ποσότητες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ποσότητες των αλκοολούχων ποτών και καπνικών προϊόντων που δύναται να παραλαμβάνει το Επιχειρησιακό Γραφείο της ΕΑSO με απαλλαγή από δασμό, Ε.Φ.Κ. και Φ.Π.Α. για την επίσημη χρήση του χορηγούνται ανά ημερολογιακό έτος και δεν δύναται να υπερβαίνουν τις ακόλουθες ποσότητες:</w:t>
      </w:r>
    </w:p>
    <w:p>
      <w:pPr>
        <w:pStyle w:val="StructureList1"/>
        <w:spacing w:before="120" w:after="0"/>
        <w:rPr>
          <w:lang w:val="el" w:eastAsia="el"/>
        </w:rPr>
      </w:pPr>
      <w:r>
        <w:rPr>
          <w:b/>
          <w:bCs/>
          <w:lang w:val="el" w:eastAsia="el"/>
        </w:rPr>
        <w:t>α)</w:t>
      </w:r>
      <w:r>
        <w:rPr>
          <w:b/>
          <w:bCs/>
          <w:lang w:val="en" w:eastAsia="en"/>
        </w:rPr>
        <w:tab/>
      </w:r>
      <w:r>
        <w:rPr>
          <w:b/>
          <w:bCs/>
          <w:lang w:val="el" w:eastAsia="el"/>
        </w:rPr>
        <w:t>Ογδόντα (80) φιάλες αποσταγμάτων, λικέρ και άλλων οινοπνευματωδών ποτών β) Πενήντα (50) φιάλες οίνου γ) Εκατό (100) φιάλες μπύρας</w:t>
      </w:r>
    </w:p>
    <w:p>
      <w:pPr>
        <w:spacing w:before="240" w:after="240"/>
        <w:rPr>
          <w:lang w:val="el" w:eastAsia="el"/>
        </w:rPr>
      </w:pPr>
      <w:r>
        <w:rPr>
          <w:b/>
          <w:bCs/>
          <w:lang w:val="el" w:eastAsia="el"/>
        </w:rPr>
        <w:t>Η φιάλη στις περιπτώσεις α) και β) να μην υπερβαίνει το ένα (1) λίτρο. δ) Xίλια (1.000) τεμάχια τσιγάρων ή άλλα προϊόντα καπνού που υποκαθίστανται για το σύνολο ή μέρος αυτής της κατανομής, με τις εξής κλίμακες:</w:t>
      </w:r>
    </w:p>
    <w:p>
      <w:pPr>
        <w:pStyle w:val="StructureList1"/>
        <w:spacing w:before="120" w:after="0"/>
        <w:rPr>
          <w:lang w:val="el" w:eastAsia="el"/>
        </w:rPr>
      </w:pPr>
      <w:r>
        <w:rPr>
          <w:b/>
          <w:bCs/>
          <w:lang w:val="el" w:eastAsia="el"/>
        </w:rPr>
        <w:t>-</w:t>
      </w:r>
      <w:r>
        <w:rPr>
          <w:b/>
          <w:bCs/>
          <w:lang w:val="en" w:eastAsia="en"/>
        </w:rPr>
        <w:tab/>
      </w:r>
      <w:r>
        <w:rPr>
          <w:b/>
          <w:bCs/>
          <w:lang w:val="el" w:eastAsia="el"/>
        </w:rPr>
        <w:t>Ένα πούρο (ή παρόμοιο είδος) που ζυγίζει λιγότερο από 3 γραμμάρια=3 τσιγάρα</w:t>
      </w:r>
    </w:p>
    <w:p>
      <w:pPr>
        <w:pStyle w:val="StructureList1"/>
        <w:spacing w:before="120" w:after="0"/>
        <w:rPr>
          <w:lang w:val="el" w:eastAsia="el"/>
        </w:rPr>
      </w:pPr>
      <w:r>
        <w:rPr>
          <w:b/>
          <w:bCs/>
          <w:lang w:val="el" w:eastAsia="el"/>
        </w:rPr>
        <w:t>-</w:t>
      </w:r>
      <w:r>
        <w:rPr>
          <w:b/>
          <w:bCs/>
          <w:lang w:val="en" w:eastAsia="en"/>
        </w:rPr>
        <w:tab/>
      </w:r>
      <w:r>
        <w:rPr>
          <w:b/>
          <w:bCs/>
          <w:lang w:val="el" w:eastAsia="el"/>
        </w:rPr>
        <w:t>Ένα πούρο (ή παρόμοιο είδος) που ζυγίζει περισσότερο από 3 γραμμάρια=6 τσιγάρα</w:t>
      </w:r>
    </w:p>
    <w:p>
      <w:pPr>
        <w:pStyle w:val="StructureList1"/>
        <w:spacing w:before="120" w:after="0"/>
        <w:rPr>
          <w:lang w:val="el" w:eastAsia="el"/>
        </w:rPr>
      </w:pPr>
      <w:r>
        <w:rPr>
          <w:b/>
          <w:bCs/>
          <w:lang w:val="el" w:eastAsia="el"/>
        </w:rPr>
        <w:t>-</w:t>
      </w:r>
      <w:r>
        <w:rPr>
          <w:b/>
          <w:bCs/>
          <w:lang w:val="en" w:eastAsia="en"/>
        </w:rPr>
        <w:tab/>
      </w:r>
      <w:r>
        <w:rPr>
          <w:b/>
          <w:bCs/>
          <w:lang w:val="el" w:eastAsia="el"/>
        </w:rPr>
        <w:t>Πενήντα γραμμάρια καπνού = 80 τσιγάρα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ημερολογιακό έτος νοείται, το χρονικό διάστημα από 1</w:t>
      </w:r>
      <w:r>
        <w:rPr>
          <w:b/>
          <w:bCs/>
          <w:sz w:val="30"/>
          <w:szCs w:val="30"/>
          <w:vertAlign w:val="superscript"/>
          <w:lang w:val="el" w:eastAsia="el"/>
        </w:rPr>
        <w:t>η</w:t>
      </w:r>
      <w:r>
        <w:rPr>
          <w:b/>
          <w:bCs/>
          <w:lang w:val="el" w:eastAsia="el"/>
        </w:rPr>
        <w:t xml:space="preserve"> Ιανουαρίου έως 31 Δεκεμβρίου έκαστου έτους. Ποσότητες που δεν παρελήφθησαν εντός του ημερολογιακού έτους δε δύναται να προσαυξήσουν τις ποσότητες του επόμενου έτους.</w:t>
      </w:r>
    </w:p>
    <w:p>
      <w:pPr>
        <w:pStyle w:val="Heading6"/>
        <w:spacing w:before="240" w:after="240"/>
        <w:rPr>
          <w:lang w:val="el" w:eastAsia="el"/>
        </w:rPr>
      </w:pPr>
      <w:r>
        <w:rPr>
          <w:b/>
          <w:bCs/>
          <w:u w:val="single"/>
          <w:lang w:val="el" w:eastAsia="el"/>
        </w:rPr>
        <w:t xml:space="preserve">Άρθρο </w:t>
      </w:r>
      <w:r>
        <w:rPr>
          <w:b/>
          <w:bCs/>
          <w:u w:val="single"/>
          <w:lang w:val="el" w:eastAsia="el"/>
        </w:rPr>
        <w:t>4</w:t>
      </w:r>
      <w:r>
        <w:rPr>
          <w:b/>
          <w:bCs/>
          <w:lang w:val="el" w:eastAsia="el"/>
        </w:rPr>
        <w:t xml:space="preserve"> </w:t>
      </w:r>
    </w:p>
    <w:p>
      <w:pPr>
        <w:pStyle w:val="Heading6"/>
        <w:spacing w:before="240" w:after="240"/>
        <w:rPr>
          <w:lang w:val="el" w:eastAsia="el"/>
        </w:rPr>
      </w:pPr>
      <w:r>
        <w:rPr>
          <w:b/>
          <w:bCs/>
          <w:lang w:val="el" w:eastAsia="el"/>
        </w:rPr>
        <w:t>Διαδικασία παραλαβής</w:t>
      </w:r>
    </w:p>
    <w:p>
      <w:pPr>
        <w:spacing w:before="240" w:after="240"/>
        <w:rPr>
          <w:lang w:val="el" w:eastAsia="el"/>
        </w:rPr>
      </w:pPr>
      <w:r>
        <w:rPr>
          <w:b/>
          <w:bCs/>
          <w:lang w:val="el" w:eastAsia="el"/>
        </w:rPr>
        <w:t>Για την παραλαβή αλκοολούχων ποτών και καπνικών προϊόντων από το δικαιούχο απαλλαγής του άρθρου 2 πρόσωπο, με απαλλαγή από τις δασμοφορολογικές επιβαρύνσεις, υποβάλλεται στην αρμόδια τελωνειακή αρχή το προβλεπόμενο κατά</w:t>
      </w:r>
    </w:p>
    <w:p>
      <w:pPr>
        <w:spacing w:before="240" w:after="240"/>
        <w:rPr>
          <w:lang w:val="el" w:eastAsia="el"/>
        </w:rPr>
      </w:pPr>
      <w:r>
        <w:rPr>
          <w:b/>
          <w:bCs/>
          <w:lang w:val="el" w:eastAsia="el"/>
        </w:rPr>
        <w:t>περίπτωση τελωνειακό παραστατικό (Δ.Ε.Φ.Κ. ή Ε.Δ.Ε.) στο όνομα του δικαιούχου ατελείας προσώπου. Με το τελωνειακό παραστατικό συνυποβάλλονται τα ακόλουθα δικαιολογητικά: α) Έντυπο "ατέλεια εισαγωγής" θεωρημένο από τη Διεύθυνση Εθιμοτυπίας του Υπουργείου Εξωτερικών,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Τιμολόγιο πώλησης,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Κατάσταση στην οποία αναγράφονται τα είδη, οι ποσότητες αυτών ανά είδος και το δικαιούχο ατελείας πρόσωπο.</w:t>
      </w:r>
    </w:p>
    <w:p>
      <w:pPr>
        <w:pStyle w:val="Heading6"/>
        <w:spacing w:before="240" w:after="240"/>
        <w:rPr>
          <w:lang w:val="el" w:eastAsia="el"/>
        </w:rPr>
      </w:pPr>
      <w:r>
        <w:rPr>
          <w:b/>
          <w:bCs/>
          <w:u w:val="single"/>
          <w:lang w:val="el" w:eastAsia="el"/>
        </w:rPr>
        <w:t xml:space="preserve">Άρθρο </w:t>
      </w:r>
      <w:r>
        <w:rPr>
          <w:b/>
          <w:bCs/>
          <w:u w:val="single"/>
          <w:lang w:val="el" w:eastAsia="el"/>
        </w:rPr>
        <w:t>5</w:t>
      </w:r>
      <w:r>
        <w:rPr>
          <w:b/>
          <w:bCs/>
          <w:lang w:val="el" w:eastAsia="el"/>
        </w:rPr>
        <w:t xml:space="preserve"> </w:t>
      </w:r>
    </w:p>
    <w:p>
      <w:pPr>
        <w:pStyle w:val="Heading6"/>
        <w:spacing w:before="240" w:after="240"/>
        <w:rPr>
          <w:lang w:val="el" w:eastAsia="el"/>
        </w:rPr>
      </w:pPr>
      <w:r>
        <w:rPr>
          <w:b/>
          <w:bCs/>
          <w:lang w:val="el" w:eastAsia="el"/>
        </w:rPr>
        <w:t>Αρμόδια Τελωνειακή Αρχή Ελέγχου</w:t>
      </w:r>
    </w:p>
    <w:p>
      <w:pPr>
        <w:spacing w:before="240" w:after="240"/>
        <w:rPr>
          <w:lang w:val="el" w:eastAsia="el"/>
        </w:rPr>
      </w:pPr>
      <w:r>
        <w:rPr>
          <w:b/>
          <w:bCs/>
          <w:lang w:val="el" w:eastAsia="el"/>
        </w:rPr>
        <w:t>Αρμόδια τελωνειακή αρχή για τον έλεγχο και την παρακολούθηση της απαλλαγής από δασμό, Ε.Φ.Κ. και Φ.Π.Α. των αλκοολούχων ποτών και καπνικών προϊόντων που παραλαμβάνονται από τo δικαιούχο πρόσωπο του άρθρου 2, ορίζεται το Α΄ Τελωνείο Εισαγωγής, Ε.Φ.Κ. και Εφοδίων Πειραιά.</w:t>
      </w:r>
    </w:p>
    <w:p>
      <w:pPr>
        <w:pStyle w:val="Heading6"/>
        <w:spacing w:before="240" w:after="240"/>
        <w:rPr>
          <w:lang w:val="el" w:eastAsia="el"/>
        </w:rPr>
      </w:pPr>
      <w:r>
        <w:rPr>
          <w:b/>
          <w:bCs/>
          <w:u w:val="single"/>
          <w:lang w:val="el" w:eastAsia="el"/>
        </w:rPr>
        <w:t xml:space="preserve">Άρθρο </w:t>
      </w:r>
      <w:r>
        <w:rPr>
          <w:b/>
          <w:bCs/>
          <w:u w:val="single"/>
          <w:lang w:val="el" w:eastAsia="el"/>
        </w:rPr>
        <w:t>6</w:t>
      </w:r>
      <w:r>
        <w:rPr>
          <w:b/>
          <w:bCs/>
          <w:lang w:val="el" w:eastAsia="el"/>
        </w:rPr>
        <w:t xml:space="preserve"> </w:t>
      </w:r>
    </w:p>
    <w:p>
      <w:pPr>
        <w:pStyle w:val="Heading6"/>
        <w:spacing w:before="240" w:after="240"/>
        <w:rPr>
          <w:lang w:val="el" w:eastAsia="el"/>
        </w:rPr>
      </w:pPr>
      <w:r>
        <w:rPr>
          <w:b/>
          <w:bCs/>
          <w:lang w:val="el" w:eastAsia="el"/>
        </w:rPr>
        <w:t>Διαδικασία Παρακολούθησης της απαλλαγής</w:t>
      </w:r>
    </w:p>
    <w:p>
      <w:pPr>
        <w:spacing w:before="240" w:after="240"/>
        <w:rPr>
          <w:lang w:val="el" w:eastAsia="el"/>
        </w:rPr>
      </w:pPr>
      <w:r>
        <w:rPr>
          <w:b/>
          <w:bCs/>
          <w:lang w:val="el" w:eastAsia="el"/>
        </w:rPr>
        <w:t>Σε περίπτωση όπου η τελωνειακή αρχή στην οποία υποβάλλεται το παραστατικό θέσης σε ανάλωση είναι διαφορετική από την τελωνειακή αρχή ελέγχου, αποστέλλει μέσω ηλεκτρονικού ταχυδρομείου την προβλεπόμενη από το άρθρο 4, κατάσταση στην αρμόδια τελωνειακή αρχή ελέγχου, τα στοιχεία της οποίας συμπληρώνει στον Πίνακα του συνημμένου Παραρτήματος, προκειμένου να παρακολουθούνται τα ετήσια όρια παράδοσης των προϊόντων στο δικαιούχο ατελείας πρόσωπο.</w:t>
      </w:r>
    </w:p>
    <w:p>
      <w:pPr>
        <w:spacing w:before="240" w:after="240"/>
        <w:rPr>
          <w:lang w:val="el" w:eastAsia="el"/>
        </w:rPr>
      </w:pPr>
      <w:r>
        <w:rPr>
          <w:b/>
          <w:bCs/>
          <w:lang w:val="el" w:eastAsia="el"/>
        </w:rPr>
        <w:t>Με βάση τον Πίνακα, η αρμόδια τελωνειακή αρχή ελέγχου προβαίνει στους απαραίτητους ελέγχους για τη διαπίστωση της ορθής τήρησης των προβλεπόμενων ορίων ποσοτήτων αφορολόγητων προϊόντων που παραλαμβάνονται από το δικαιούχο απαλλαγής πρόσωπο.</w:t>
      </w:r>
    </w:p>
    <w:p>
      <w:pPr>
        <w:pStyle w:val="Heading6"/>
        <w:spacing w:before="240" w:after="240"/>
        <w:rPr>
          <w:lang w:val="el" w:eastAsia="el"/>
        </w:rPr>
      </w:pPr>
      <w:r>
        <w:rPr>
          <w:b/>
          <w:bCs/>
          <w:u w:val="single"/>
          <w:lang w:val="el" w:eastAsia="el"/>
        </w:rPr>
        <w:t xml:space="preserve">Άρθρο </w:t>
      </w:r>
      <w:r>
        <w:rPr>
          <w:b/>
          <w:bCs/>
          <w:u w:val="single"/>
          <w:lang w:val="el" w:eastAsia="el"/>
        </w:rPr>
        <w:t>7</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Απόφαση ισχύει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 (Για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Τελωνεία Α΄, Β΄ &amp; Γ΄ Τάξης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Γενική Δ/νση Ηλεκτρονικής Διακυβέρνησης</w:t>
      </w:r>
    </w:p>
    <w:p>
      <w:pPr>
        <w:spacing w:before="240" w:after="240"/>
        <w:rPr>
          <w:lang w:val="el" w:eastAsia="el"/>
        </w:rPr>
      </w:pPr>
      <w:r>
        <w:rPr>
          <w:b/>
          <w:bCs/>
          <w:lang w:val="el" w:eastAsia="el"/>
        </w:rPr>
        <w:t>Ι. Δ/νση Στρατηγικής Τεχνολογιών Πληροφορικής (ΔΙ.Σ.ΤΕ.ΠΛ) Τμήμα Ε΄- Ανάπτυξης Διαδικτυακών Ιστοτόπων και Διαχείρισης (για ενημέρωση της ηλεκτρονικής βιβλιοθήκης)</w:t>
      </w:r>
    </w:p>
    <w:p>
      <w:pPr>
        <w:spacing w:before="240" w:after="240"/>
        <w:rPr>
          <w:lang w:val="el" w:eastAsia="el"/>
        </w:rPr>
      </w:pPr>
      <w:r>
        <w:rPr>
          <w:b/>
          <w:bCs/>
          <w:lang w:val="el" w:eastAsia="el"/>
        </w:rPr>
        <w:t>ΙΙ. Διεύθυνση Επιχειρησιακών Διαδικασιών Υποδιεύθυνση Β΄- Απαιτήσεων και Ελέγχου Εφαρμογών Τελωνείων Τμήμα Ε΄ (για ανάρτηση στο portal)</w:t>
      </w:r>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Υπουργείο Εξωτερικών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Νομικής Υποστήριξης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Αυτοτελές Τμήμα Συντονισμού Μεταρρυθμιστικών Δράσεων &amp; Επικοινωνίας ΑΑΔΕ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Δ/νση Εσωτερικού Ελέγχου ΑΑΔΕ</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Επιχειρησιακό Γραφείο EASO – Ελλάδα, Email:</w:t>
      </w:r>
      <w:hyperlink r:id="rId4" w:history="1">
        <w:r>
          <w:rPr>
            <w:rStyle w:val="Hyperlink"/>
            <w:b/>
            <w:bCs/>
            <w:color w:val="0000EE"/>
            <w:u w:color="0000EE"/>
            <w:lang w:val="el" w:eastAsia="el"/>
          </w:rPr>
          <w:t>og.pmogreece@ easo.europa.eu</w:t>
        </w:r>
      </w:hyperlink>
    </w:p>
    <w:p>
      <w:pPr>
        <w:pStyle w:val="MainText"/>
        <w:spacing w:before="120" w:after="0"/>
        <w:rPr>
          <w:lang w:val="el" w:eastAsia="el"/>
        </w:rPr>
      </w:pPr>
      <w:r>
        <w:rPr>
          <w:b/>
          <w:bCs/>
          <w:lang w:val="el" w:eastAsia="el"/>
        </w:rPr>
        <w:t>8.</w:t>
      </w:r>
      <w:r>
        <w:rPr>
          <w:b/>
          <w:bCs/>
          <w:lang w:val="el" w:eastAsia="el"/>
        </w:rPr>
        <w:t xml:space="preserve"> </w:t>
      </w:r>
      <w:r>
        <w:rPr>
          <w:b/>
          <w:bCs/>
          <w:lang w:val="el" w:eastAsia="el"/>
        </w:rPr>
        <w:t>Υπηρεσίες Ερευνών και Διασφάλισης Δημοσίων Εσόδων (Υ.Ε.Δ.Δ.Ε) ΑΑΔΕ</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Τελωνειακές Περιφέρειες Αττικής, Θεσσαλονίκης, Αχαΐας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Γενική Διεύθυνση Διαχείρισης Ανθρώπινου Δυναμικού και Οργάνωσης ΑΑΔΕ</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 Διεύθυνση Διαχείρισης Ανθρώπινου Δυναμικού</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β) Διεύθυνση Οργάνωσης</w:t>
      </w:r>
    </w:p>
    <w:p>
      <w:pPr>
        <w:spacing w:before="240" w:after="240"/>
        <w:rPr>
          <w:lang w:val="el" w:eastAsia="el"/>
        </w:rPr>
      </w:pPr>
      <w:r>
        <w:rPr>
          <w:b/>
          <w:bCs/>
          <w:lang w:val="el" w:eastAsia="el"/>
        </w:rPr>
        <w:t xml:space="preserve">11 </w:t>
      </w:r>
      <w:r>
        <w:rPr>
          <w:b/>
          <w:bCs/>
          <w:lang w:val="el" w:eastAsia="el"/>
        </w:rPr>
        <w:t>.Ελεγκτικές Υπηρεσίες Τελωνείων (ΕΛ.Υ.Τ) Αττικής, Θεσσαλονίκης</w:t>
      </w:r>
    </w:p>
    <w:p>
      <w:pPr>
        <w:spacing w:before="240" w:after="240"/>
        <w:rPr>
          <w:lang w:val="el" w:eastAsia="el"/>
        </w:rPr>
      </w:pPr>
      <w:r>
        <w:rPr>
          <w:b/>
          <w:bCs/>
          <w:lang w:val="el" w:eastAsia="el"/>
        </w:rPr>
        <w:t>12 .</w:t>
      </w:r>
      <w:r>
        <w:rPr>
          <w:b/>
          <w:bCs/>
          <w:lang w:val="el" w:eastAsia="el"/>
        </w:rPr>
        <w:t>Οικονομικό Επιμελητήριο Ελλάδος Μητροπόλεως 12-14, ΤΚ 105 63 –Αθήνα e-mail:</w:t>
      </w:r>
      <w:hyperlink r:id="rId5" w:history="1">
        <w:r>
          <w:rPr>
            <w:rStyle w:val="Hyperlink"/>
            <w:b/>
            <w:bCs/>
            <w:color w:val="0000EE"/>
            <w:u w:color="0000EE"/>
            <w:lang w:val="el" w:eastAsia="el"/>
          </w:rPr>
          <w:t>oee@oe-e.gr</w:t>
        </w:r>
      </w:hyperlink>
    </w:p>
    <w:p>
      <w:pPr>
        <w:spacing w:before="240" w:after="240"/>
        <w:rPr>
          <w:lang w:val="el" w:eastAsia="el"/>
        </w:rPr>
      </w:pPr>
      <w:r>
        <w:rPr>
          <w:b/>
          <w:bCs/>
          <w:lang w:val="el" w:eastAsia="el"/>
        </w:rPr>
        <w:t>13 .</w:t>
      </w:r>
      <w:r>
        <w:rPr>
          <w:b/>
          <w:bCs/>
          <w:lang w:val="el" w:eastAsia="el"/>
        </w:rPr>
        <w:t>Κεντρική Ένωση Επιμελητηρίων Ελλάδος Ακαδημίας 6, TK 106 71 - Αθήνα e-mail:</w:t>
      </w:r>
      <w:hyperlink r:id="rId6" w:history="1">
        <w:r>
          <w:rPr>
            <w:rStyle w:val="Hyperlink"/>
            <w:b/>
            <w:bCs/>
            <w:color w:val="0000EE"/>
            <w:u w:color="0000EE"/>
            <w:lang w:val="el" w:eastAsia="el"/>
          </w:rPr>
          <w:t>keeuhcci@uhc.gr</w:t>
        </w:r>
      </w:hyperlink>
    </w:p>
    <w:p>
      <w:pPr>
        <w:spacing w:before="240" w:after="240"/>
        <w:rPr>
          <w:lang w:val="el" w:eastAsia="el"/>
        </w:rPr>
      </w:pPr>
      <w:r>
        <w:rPr>
          <w:b/>
          <w:bCs/>
          <w:lang w:val="el" w:eastAsia="el"/>
        </w:rPr>
        <w:t>14 .</w:t>
      </w:r>
      <w:r>
        <w:rPr>
          <w:b/>
          <w:bCs/>
          <w:lang w:val="el" w:eastAsia="el"/>
        </w:rPr>
        <w:t>Εμπορικό και Βιομηχανικό Επιμελητήριο Αθηνών Ακαδημίας 7, ΣΚ 106 71-Αθήνα e-mail:</w:t>
      </w:r>
      <w:hyperlink r:id="rId7" w:history="1">
        <w:r>
          <w:rPr>
            <w:rStyle w:val="Hyperlink"/>
            <w:b/>
            <w:bCs/>
            <w:color w:val="0000EE"/>
            <w:u w:color="0000EE"/>
            <w:lang w:val="el" w:eastAsia="el"/>
          </w:rPr>
          <w:t>info@acc.gr</w:t>
        </w:r>
      </w:hyperlink>
    </w:p>
    <w:p>
      <w:pPr>
        <w:spacing w:before="240" w:after="240"/>
        <w:rPr>
          <w:lang w:val="el" w:eastAsia="el"/>
        </w:rPr>
      </w:pPr>
      <w:r>
        <w:rPr>
          <w:b/>
          <w:bCs/>
          <w:lang w:val="el" w:eastAsia="el"/>
        </w:rPr>
        <w:t>15 .</w:t>
      </w:r>
      <w:r>
        <w:rPr>
          <w:b/>
          <w:bCs/>
          <w:lang w:val="el" w:eastAsia="el"/>
        </w:rPr>
        <w:t>Βιοτεχνικό Επιμελητήριο Αθηνών Ακαδημίας 18, ΣΚ 106 71 – Αθήνα e-mail:</w:t>
      </w:r>
      <w:hyperlink r:id="rId8" w:history="1">
        <w:r>
          <w:rPr>
            <w:rStyle w:val="Hyperlink"/>
            <w:b/>
            <w:bCs/>
            <w:color w:val="0000EE"/>
            <w:u w:color="0000EE"/>
            <w:lang w:val="el" w:eastAsia="el"/>
          </w:rPr>
          <w:t>info@acsmi.gr</w:t>
        </w:r>
      </w:hyperlink>
    </w:p>
    <w:p>
      <w:pPr>
        <w:spacing w:before="240" w:after="240"/>
        <w:rPr>
          <w:lang w:val="el" w:eastAsia="el"/>
        </w:rPr>
      </w:pPr>
      <w:r>
        <w:rPr>
          <w:b/>
          <w:bCs/>
          <w:lang w:val="el" w:eastAsia="el"/>
        </w:rPr>
        <w:t>16 .</w:t>
      </w:r>
      <w:r>
        <w:rPr>
          <w:b/>
          <w:bCs/>
          <w:lang w:val="el" w:eastAsia="el"/>
        </w:rPr>
        <w:t>Ομοσπονδία Εκτελωνιστών Ελλάδας Καραΐσκου 82, ΣΚ 185 32 – ΠΕΙΡΑΙΑ e-mail:</w:t>
      </w:r>
      <w:hyperlink r:id="rId9"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17 </w:t>
      </w:r>
      <w:r>
        <w:rPr>
          <w:b/>
          <w:bCs/>
          <w:lang w:val="el" w:eastAsia="el"/>
        </w:rPr>
        <w:t>.Σύλλογος Εκτελωνιστών Πειραιώς – Αθηνών Τσαμαδού 38, ΣΚ 185 31 – ΠΕΙΡΑΙΑ</w:t>
      </w:r>
    </w:p>
    <w:p>
      <w:pPr>
        <w:spacing w:before="240" w:after="240"/>
        <w:rPr>
          <w:lang w:val="el" w:eastAsia="el"/>
        </w:rPr>
      </w:pPr>
      <w:r>
        <w:rPr>
          <w:b/>
          <w:bCs/>
          <w:lang w:val="el" w:eastAsia="el"/>
        </w:rPr>
        <w:t>18 .</w:t>
      </w:r>
      <w:r>
        <w:rPr>
          <w:b/>
          <w:bCs/>
          <w:lang w:val="el" w:eastAsia="el"/>
        </w:rPr>
        <w:t>Σύνδεσμος Ελληνικών Βιομηχανιών (ΣΕΒ) (Με την παράκληση να ενημερώσει τα μέλη του) Ξενοφώντος 5, Τ.Κ.</w:t>
      </w:r>
    </w:p>
    <w:p>
      <w:pPr>
        <w:spacing w:before="240" w:after="240"/>
        <w:rPr>
          <w:lang w:val="el" w:eastAsia="el"/>
        </w:rPr>
      </w:pPr>
      <w:r>
        <w:rPr>
          <w:b/>
          <w:bCs/>
          <w:lang w:val="el" w:eastAsia="el"/>
        </w:rPr>
        <w:t>105 57 Αθήνα, e-mail:</w:t>
      </w:r>
      <w:hyperlink r:id="rId10"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Στρατηγικής Τελωνειακών Ελέγχων και Παραβάσεων (Δ.Σ.Τ.Ε.Π)</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spacing w:before="240" w:after="240"/>
        <w:rPr>
          <w:lang w:val="el" w:eastAsia="el"/>
        </w:rPr>
      </w:pPr>
      <w:r>
        <w:rPr>
          <w:b/>
          <w:bCs/>
          <w:u w:val="single"/>
          <w:lang w:val="el" w:eastAsia="el"/>
        </w:rPr>
        <w:t>ΠΑΡΑΡΤΗΜΑ</w:t>
      </w:r>
    </w:p>
    <w:p>
      <w:pPr>
        <w:spacing w:before="240" w:after="240"/>
        <w:rPr>
          <w:lang w:val="el" w:eastAsia="el"/>
        </w:rPr>
      </w:pPr>
      <w:r>
        <w:rPr>
          <w:b/>
          <w:bCs/>
          <w:lang w:val="el" w:eastAsia="el"/>
        </w:rPr>
        <w:t>Πίνακας παρακολούθησης των ανώτατων ετήσιων ποσοτήτων αφορολόγητων αλκοολούχων ποτών και καπνικών προϊόντων που παραλαμβάνονται από το Επιχειρησιακό Γραφείo EASO για την επίσημη χρήση (άρθρο 2 παρούσας Απόφασης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
        <w:gridCol w:w="1714"/>
        <w:gridCol w:w="2247"/>
        <w:gridCol w:w="800"/>
        <w:gridCol w:w="874"/>
        <w:gridCol w:w="1364"/>
        <w:gridCol w:w="18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ΓΡΑΦΕΙΟ EASO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ΑΡ.ΤΕΛΩΝΕΙΑΚΟΥ ΠΑΡΑΣΤΑΤΙΚΟΥ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ΑΠΟΣΤΑΓΜATA,ΛΙΚΕΡ ΚΑΙ ΑΛΛΑ ΟΙΝΟΠΝΕΥΜΑΤΩΔΗ ΠΟΤΑ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ΤΣΙΓΑΡΩΝ Ή ΑΛΛΩΝ ΠΡΟΪΟΝΤΩΝ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g.pmogreece@easo.europa.eu" TargetMode="External" /><Relationship Id="rId5" Type="http://schemas.openxmlformats.org/officeDocument/2006/relationships/hyperlink" Target="mailto:oee@oe-e.gr" TargetMode="External" /><Relationship Id="rId6" Type="http://schemas.openxmlformats.org/officeDocument/2006/relationships/hyperlink" Target="mailto:keeuhcci@uhc.gr" TargetMode="External" /><Relationship Id="rId7" Type="http://schemas.openxmlformats.org/officeDocument/2006/relationships/hyperlink" Target="mailto:info@acc.gr" TargetMode="External" /><Relationship Id="rId8" Type="http://schemas.openxmlformats.org/officeDocument/2006/relationships/hyperlink" Target="mailto:info@acsmi.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