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Ψ8Ο846ΜΠ3Ζ-ΝΦ6</w:t>
      </w:r>
    </w:p>
    <w:p>
      <w:pPr>
        <w:pStyle w:val="PreambelText"/>
        <w:spacing w:before="240" w:after="240"/>
        <w:rPr>
          <w:lang w:val="el" w:eastAsia="el"/>
        </w:rPr>
      </w:pPr>
      <w:r>
        <w:rPr>
          <w:b/>
          <w:bCs/>
          <w:lang w:val="el" w:eastAsia="el"/>
        </w:rPr>
        <w:t>Αριθ. ΦΕΚ: Β΄5150</w:t>
      </w:r>
    </w:p>
    <w:p>
      <w:pPr>
        <w:pStyle w:val="PreambelText"/>
        <w:spacing w:before="240" w:after="240"/>
        <w:rPr>
          <w:lang w:val="el" w:eastAsia="el"/>
        </w:rPr>
      </w:pPr>
      <w:r>
        <w:rPr>
          <w:b/>
          <w:bCs/>
          <w:lang w:val="el" w:eastAsia="el"/>
        </w:rPr>
        <w:t>Αθήνα, 30-09-2022</w:t>
      </w:r>
    </w:p>
    <w:p>
      <w:pPr>
        <w:pStyle w:val="PreambelText"/>
        <w:spacing w:before="240" w:after="240"/>
        <w:rPr>
          <w:lang w:val="el" w:eastAsia="el"/>
        </w:rPr>
      </w:pPr>
      <w:r>
        <w:rPr>
          <w:b/>
          <w:bCs/>
          <w:lang w:val="el" w:eastAsia="el"/>
        </w:rPr>
        <w:t>Αριθ. Πρωτ.: Α.1130</w:t>
      </w:r>
    </w:p>
    <w:p>
      <w:pPr>
        <w:pStyle w:val="PreambelText"/>
        <w:spacing w:before="240" w:after="240"/>
        <w:rPr>
          <w:lang w:val="el" w:eastAsia="el"/>
        </w:rPr>
      </w:pPr>
      <w:r>
        <w:rPr>
          <w:b/>
          <w:bCs/>
          <w:lang w:val="el" w:eastAsia="el"/>
        </w:rPr>
        <w:t>Καραγεώργη Σερβίας 10</w:t>
      </w:r>
    </w:p>
    <w:p>
      <w:pPr>
        <w:pStyle w:val="PreambelText"/>
        <w:spacing w:before="240" w:after="240"/>
        <w:rPr>
          <w:lang w:val="el" w:eastAsia="el"/>
        </w:rPr>
      </w:pPr>
      <w:r>
        <w:rPr>
          <w:b/>
          <w:bCs/>
          <w:lang w:val="el" w:eastAsia="el"/>
        </w:rPr>
        <w:t>10184 Αθήνα</w:t>
      </w:r>
    </w:p>
    <w:p>
      <w:pPr>
        <w:pStyle w:val="PreambelText"/>
        <w:spacing w:before="240" w:after="240"/>
        <w:rPr>
          <w:lang w:val="el" w:eastAsia="el"/>
        </w:rPr>
      </w:pPr>
      <w:r>
        <w:rPr>
          <w:b/>
          <w:bCs/>
          <w:lang w:val="el" w:eastAsia="el"/>
        </w:rPr>
        <w:t>Μ. Ανδρούτσου</w:t>
      </w:r>
    </w:p>
    <w:p>
      <w:pPr>
        <w:pStyle w:val="PreambelText"/>
        <w:spacing w:before="240" w:after="240"/>
        <w:rPr>
          <w:lang w:val="el" w:eastAsia="el"/>
        </w:rPr>
      </w:pPr>
      <w:r>
        <w:rPr>
          <w:b/>
          <w:bCs/>
          <w:lang w:val="el" w:eastAsia="el"/>
        </w:rPr>
        <w:t>210 6987413</w:t>
      </w:r>
    </w:p>
    <w:p>
      <w:pPr>
        <w:pStyle w:val="PreambelText"/>
        <w:spacing w:before="240" w:after="240"/>
        <w:rPr>
          <w:lang w:val="el" w:eastAsia="el"/>
        </w:rPr>
      </w:pPr>
      <w:hyperlink r:id="rId4" w:history="1">
        <w:r>
          <w:rPr>
            <w:rStyle w:val="Hyperlink"/>
            <w:b/>
            <w:bCs/>
            <w:color w:val="0000EE"/>
            <w:u w:color="0000EE"/>
            <w:lang w:val="el" w:eastAsia="el"/>
          </w:rPr>
          <w:t>finexcis@aade.gr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ΙΙ. ΓΕΝΙΚΗ ΔΙΕΥΘΥΝΣΗ ΓΕΝΙΚΟΥ ΧΗΜΕΙΟΥ</w:t>
      </w:r>
    </w:p>
    <w:p>
      <w:pPr>
        <w:pStyle w:val="PreambelText"/>
        <w:spacing w:before="240" w:after="240"/>
        <w:rPr>
          <w:lang w:val="el" w:eastAsia="el"/>
        </w:rPr>
      </w:pPr>
      <w:r>
        <w:rPr>
          <w:b/>
          <w:bCs/>
          <w:lang w:val="el" w:eastAsia="el"/>
        </w:rPr>
        <w:t>ΚΡΑΤΟΥΣ</w:t>
      </w:r>
    </w:p>
    <w:p>
      <w:pPr>
        <w:pStyle w:val="PreambelText"/>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Αν. Τσόχα 16</w:t>
      </w:r>
    </w:p>
    <w:p>
      <w:pPr>
        <w:spacing w:before="240" w:after="240"/>
        <w:rPr>
          <w:lang w:val="el" w:eastAsia="el"/>
        </w:rPr>
      </w:pPr>
      <w:r>
        <w:rPr>
          <w:b/>
          <w:bCs/>
          <w:lang w:val="el" w:eastAsia="el"/>
        </w:rPr>
        <w:t>11521, Αθήνα Σ. Χατζηγεωργίου 210 6479222</w:t>
      </w:r>
    </w:p>
    <w:p>
      <w:pPr>
        <w:spacing w:before="240" w:after="240"/>
        <w:rPr>
          <w:lang w:val="el" w:eastAsia="el"/>
        </w:rPr>
      </w:pPr>
      <w:hyperlink r:id="rId5" w:history="1">
        <w:r>
          <w:rPr>
            <w:rStyle w:val="Hyperlink"/>
            <w:b/>
            <w:bCs/>
            <w:color w:val="0000EE"/>
            <w:u w:color="0000EE"/>
            <w:lang w:val="el" w:eastAsia="el"/>
          </w:rPr>
          <w:t>dat.gcsl@aade.gr</w:t>
        </w:r>
      </w:hyperlink>
    </w:p>
    <w:p>
      <w:pPr>
        <w:spacing w:before="240" w:after="240"/>
        <w:rPr>
          <w:lang w:val="el" w:eastAsia="el"/>
        </w:rPr>
      </w:pP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Θέμα: Τροποποίηση της Α.1102/27.07.2022 Απόφασης Υφυπουργού Οικονομικών </w:t>
      </w:r>
      <w:r>
        <w:rPr>
          <w:b/>
          <w:bCs/>
          <w:i/>
          <w:iCs/>
          <w:lang w:val="el" w:eastAsia="el"/>
        </w:rPr>
        <w:t>«Καθορισμός της διαδικασίας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ν.2969/2001 (Α΄281), των όρων, των προϋποθέσεων,των διαδικασιώνκαι της απόδοσης των πρώτων υλών σε άνυδρη αιθυλική αλκοόλη για την εφαρμογή της παρ. Ε΄ του άρθρου 7 του ιδίου νόμου,της διαδικασίας σφράγισης και αποσφράγισης των χρησιμοποιούμενωναπό τους διήμερους μικρούς αποσταγματοποιούς αποστακτικών μηχανημάτων, καθώς και των λεπτομερειών εφαρμογής του άρθρου 4 του ιδίου ως άνω νόμου.» (Β΄4073).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Εθνικού Τελωνειακού Κώδικα (ν.2960/2001, Α΄265) και ειδικότερα των άρθρων 32 παρ. 6, 82 παρ. 6 και 109,</w:t>
      </w:r>
    </w:p>
    <w:p>
      <w:pPr>
        <w:pStyle w:val="StructureList1"/>
        <w:spacing w:before="120" w:after="0"/>
        <w:rPr>
          <w:lang w:val="el" w:eastAsia="el"/>
        </w:rPr>
      </w:pPr>
      <w:r>
        <w:rPr>
          <w:lang w:val="el" w:eastAsia="el"/>
        </w:rPr>
        <w:t>β)</w:t>
      </w:r>
      <w:r>
        <w:rPr>
          <w:lang w:val="en" w:eastAsia="en"/>
        </w:rPr>
        <w:tab/>
      </w:r>
      <w:r>
        <w:rPr>
          <w:b/>
          <w:bCs/>
          <w:lang w:val="el" w:eastAsia="el"/>
        </w:rPr>
        <w:t>του ν.2969/2001 «Αιθυλική αλκοόλη και αλκοολούχα προϊόντα» (Α΄281) και ειδικότερα των παρ. 6 και 7 του άρθρου 4, της παρ. 5 του άρθρου 5 και της υποπαρ. 12 της παρ. Ε του άρθρου 7,</w:t>
      </w:r>
    </w:p>
    <w:p>
      <w:pPr>
        <w:pStyle w:val="StructureList1"/>
        <w:spacing w:before="120" w:after="0"/>
        <w:rPr>
          <w:lang w:val="el" w:eastAsia="el"/>
        </w:rPr>
      </w:pPr>
      <w:r>
        <w:rPr>
          <w:lang w:val="el" w:eastAsia="el"/>
        </w:rPr>
        <w:t>γ)</w:t>
      </w:r>
      <w:r>
        <w:rPr>
          <w:lang w:val="en" w:eastAsia="en"/>
        </w:rPr>
        <w:tab/>
      </w:r>
      <w:r>
        <w:rPr>
          <w:b/>
          <w:bCs/>
          <w:lang w:val="el" w:eastAsia="el"/>
        </w:rPr>
        <w:t>της παρ. 2 του άρθρου 90 του Κώδικα Νομοθεσίας για την Κυβέρνηση και τα κυβερνητικά όργανα (π.δ. 63/2005, Α΄98), σε συνδυασμό με την παρ. 22 του άρθρου 119 του ν. 4622/2019 (Α΄133),</w:t>
      </w:r>
    </w:p>
    <w:p>
      <w:pPr>
        <w:pStyle w:val="StructureList1"/>
        <w:spacing w:before="120" w:after="0"/>
        <w:rPr>
          <w:lang w:val="el" w:eastAsia="el"/>
        </w:rPr>
      </w:pPr>
      <w:r>
        <w:rPr>
          <w:lang w:val="el" w:eastAsia="el"/>
        </w:rPr>
        <w:t>δ)</w:t>
      </w:r>
      <w:r>
        <w:rPr>
          <w:lang w:val="en" w:eastAsia="en"/>
        </w:rPr>
        <w:tab/>
      </w:r>
      <w:r>
        <w:rPr>
          <w:b/>
          <w:bCs/>
          <w:lang w:val="el" w:eastAsia="el"/>
        </w:rPr>
        <w:t>του π.δ. 142/2017 «Οργανισμός του Υπουργείου Οικονομικών» (Α΄181),</w:t>
      </w:r>
    </w:p>
    <w:p>
      <w:pPr>
        <w:pStyle w:val="StructureList1"/>
        <w:spacing w:before="120" w:after="0"/>
        <w:rPr>
          <w:lang w:val="el" w:eastAsia="el"/>
        </w:rPr>
      </w:pPr>
      <w:r>
        <w:rPr>
          <w:lang w:val="el" w:eastAsia="el"/>
        </w:rPr>
        <w:t>ε)</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στ)</w:t>
      </w:r>
      <w:r>
        <w:rPr>
          <w:lang w:val="en" w:eastAsia="en"/>
        </w:rPr>
        <w:tab/>
      </w:r>
      <w:r>
        <w:rPr>
          <w:b/>
          <w:bCs/>
          <w:lang w:val="el" w:eastAsia="el"/>
        </w:rPr>
        <w:t>του π.δ. 83/2019 «Διορισμός Αντιπροέδρου της Κυβέρνησης, Υπουργών, Αναπληρωτών Υπουργών και Υφυπουργών» (Α΄ 121 &amp; Α΄126 για διόρθωση σφάλματος),</w:t>
      </w:r>
    </w:p>
    <w:p>
      <w:pPr>
        <w:pStyle w:val="StructureList1"/>
        <w:spacing w:before="120" w:after="0"/>
        <w:rPr>
          <w:lang w:val="el" w:eastAsia="el"/>
        </w:rPr>
      </w:pPr>
      <w:r>
        <w:rPr>
          <w:lang w:val="el" w:eastAsia="el"/>
        </w:rPr>
        <w:t>ζ)</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αριθμ.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Δ.ΟΡΓ.Α 1125859 ΕΞ 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339/18-07-2019 κοινής απόφασης του Πρωθυπουργού και του Υπουργού Οικονομικών «Ανάθεση αρμοδιοτήτων στον Υφυπουργό Οικονομικών Απόστολο Βεσυρόπουλο» (Β΄3051).</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Α.1102/27.07.2022 Απόφασης Υφυπουργού Οικονομικών (Β΄4073).</w:t>
      </w:r>
    </w:p>
    <w:p>
      <w:pPr>
        <w:spacing w:before="240" w:after="240"/>
        <w:rPr>
          <w:lang w:val="el" w:eastAsia="el"/>
        </w:rPr>
      </w:pPr>
      <w:r>
        <w:rPr>
          <w:lang w:val="el" w:eastAsia="el"/>
        </w:rPr>
        <w:t xml:space="preserve">2. </w:t>
      </w:r>
      <w:r>
        <w:rPr>
          <w:b/>
          <w:bCs/>
          <w:lang w:val="el" w:eastAsia="el"/>
        </w:rPr>
        <w:t>Την ανάγκη ανακαθορισμού του χρόνου κάθε μεμονωμένης απόσταξης, λαμβανομένης υπόψη της επέκτασης των επιτρεπόμενων πρώτων υλών των διήμερων μικρών αποσταγματοποιών σε οινοποιήσιμα σταφύλια και σύκα.</w:t>
      </w:r>
    </w:p>
    <w:p>
      <w:pPr>
        <w:spacing w:before="240" w:after="240"/>
        <w:rPr>
          <w:lang w:val="el" w:eastAsia="el"/>
        </w:rPr>
      </w:pPr>
      <w:r>
        <w:rPr>
          <w:lang w:val="el" w:eastAsia="el"/>
        </w:rPr>
        <w:t xml:space="preserve">3. </w:t>
      </w:r>
      <w:r>
        <w:rPr>
          <w:b/>
          <w:bCs/>
          <w:lang w:val="el" w:eastAsia="el"/>
        </w:rPr>
        <w:t>Την από 30-09-2022 εισήγηση του Διοικητή της Α.Α.Δ.Ε.</w:t>
      </w:r>
    </w:p>
    <w:p>
      <w:pPr>
        <w:spacing w:before="240" w:after="240"/>
        <w:rPr>
          <w:lang w:val="el" w:eastAsia="el"/>
        </w:rPr>
      </w:pPr>
      <w:r>
        <w:rPr>
          <w:lang w:val="el" w:eastAsia="el"/>
        </w:rPr>
        <w:t xml:space="preserve">4. </w:t>
      </w:r>
      <w:r>
        <w:rPr>
          <w:b/>
          <w:b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Στην υπό στοιχεία Α.1102/27.07.2022 Απόφαση Υφυπουργού Οικονομικών επέρχονται οι εξής τροποποιήσεις :</w:t>
      </w:r>
    </w:p>
    <w:p>
      <w:pPr>
        <w:spacing w:before="240" w:after="240"/>
        <w:rPr>
          <w:lang w:val="el" w:eastAsia="el"/>
        </w:rPr>
      </w:pPr>
      <w:r>
        <w:rPr>
          <w:lang w:val="el" w:eastAsia="el"/>
        </w:rPr>
        <w:t xml:space="preserve">1 </w:t>
      </w:r>
      <w:r>
        <w:rPr>
          <w:b/>
          <w:bCs/>
          <w:lang w:val="el" w:eastAsia="el"/>
        </w:rPr>
        <w:t>.Η παρ. 2 του άρθρου 15 αντικαθίσταται ως εξής:</w:t>
      </w:r>
    </w:p>
    <w:p>
      <w:pPr>
        <w:spacing w:before="240" w:after="240"/>
        <w:rPr>
          <w:lang w:val="el" w:eastAsia="el"/>
        </w:rPr>
      </w:pPr>
      <w:r>
        <w:rPr>
          <w:b/>
          <w:bCs/>
          <w:lang w:val="el" w:eastAsia="el"/>
        </w:rPr>
        <w:t>«2. Για τον υπολογισμό της ποσότητας προϊόντος απόσταξης που θα παραχθεί από τους διήμερους μικρούς αποσταγματοποιούς και την επ΄ αυτής επιβολή του ειδικού φόρου κατανάλωσης, σύμφωνα με τις διατάξεις του άρθρου 82 του ν.2960/01 λαμβάνεται υπόψη ότι:</w:t>
      </w:r>
    </w:p>
    <w:p>
      <w:pPr>
        <w:spacing w:before="240" w:after="240"/>
        <w:rPr>
          <w:lang w:val="el" w:eastAsia="el"/>
        </w:rPr>
      </w:pPr>
      <w:r>
        <w:rPr>
          <w:b/>
          <w:bCs/>
          <w:lang w:val="el" w:eastAsia="el"/>
        </w:rPr>
        <w:t>α) σύμφωνα με τις διατάξεις της περ. (α) της υποπαρ. 2 της παρ. Ε του άρθρου 7 του ν.2969/2001, από 100 χιλιόγραμμα στεμφύλων παράγονται 7,5 λίτρα άνυδρα αιθυλικής αλκοόλης κατ΄ ανώτατο όριο. Η μέγιστη ποσότητα στεμφύλων που δύναται να τύχει απόσταξης, υπολογιζόμενη με βάση την ανώτατη χωρητικότητα του άμβικα και το μέγιστο προβλεπόμενο χρόνο για την απόσταξη, δεν υπερβαίνει τα 5.500 χιλιόγραμμα, κατ’ έτος.</w:t>
      </w:r>
    </w:p>
    <w:p>
      <w:pPr>
        <w:spacing w:before="240" w:after="240"/>
        <w:rPr>
          <w:lang w:val="el" w:eastAsia="el"/>
        </w:rPr>
      </w:pPr>
      <w:r>
        <w:rPr>
          <w:b/>
          <w:bCs/>
          <w:lang w:val="el" w:eastAsia="el"/>
        </w:rPr>
        <w:t>β) από 100 χιλιόγραμμα ενεχόμενου σακχάρου (εκφραζομένου ως ιμβερτοσακχάρου) σύκων – απόσυκων παράγονται 52,14 λίτρα άνυδρα αιθυλικής αλκοόλης. Η μέγιστη ποσότητα σακχάρου (εκφραζόμενου ως ιμβερτοσακχάρου) σύκων - απόσυκων που δύναται να τύχει απόσταξης δεν υπερβαίνει τα 959 χιλιόγραμμα, κατ’ έτος.</w:t>
      </w:r>
    </w:p>
    <w:p>
      <w:pPr>
        <w:spacing w:before="240" w:after="240"/>
        <w:rPr>
          <w:lang w:val="el" w:eastAsia="el"/>
        </w:rPr>
      </w:pPr>
      <w:r>
        <w:rPr>
          <w:b/>
          <w:bCs/>
          <w:lang w:val="el" w:eastAsia="el"/>
        </w:rPr>
        <w:t>γ) Ο συντελεστής απόδοσης των οινοποιήσιμων σταφυλιών καθορίζεται σε 10 λίτρα άνυδρα αιθυλικής αλκοόλης ανά 100 χιλιόγραμμα σταφυλιών.</w:t>
      </w:r>
    </w:p>
    <w:p>
      <w:pPr>
        <w:spacing w:before="240" w:after="240"/>
        <w:rPr>
          <w:lang w:val="el" w:eastAsia="el"/>
        </w:rPr>
      </w:pPr>
      <w:r>
        <w:rPr>
          <w:b/>
          <w:bCs/>
          <w:lang w:val="el" w:eastAsia="el"/>
        </w:rPr>
        <w:t>Στην περίπτωση αυτή η μέγιστη ποσότητα σταφυλιών που δύναται να τύχει απόσταξης, δεν υπερβαίνει τα 5.000 χιλιόγραμμα, κατ’ έτος.»</w:t>
      </w:r>
    </w:p>
    <w:p>
      <w:pPr>
        <w:spacing w:before="240" w:after="240"/>
        <w:rPr>
          <w:lang w:val="el" w:eastAsia="el"/>
        </w:rPr>
      </w:pPr>
      <w:r>
        <w:rPr>
          <w:lang w:val="el" w:eastAsia="el"/>
        </w:rPr>
        <w:t xml:space="preserve">2 </w:t>
      </w:r>
      <w:r>
        <w:rPr>
          <w:b/>
          <w:bCs/>
          <w:lang w:val="el" w:eastAsia="el"/>
        </w:rPr>
        <w:t>.Η παρ. 2 του άρθρου 16 αντικαθίσταται ως εξής:</w:t>
      </w:r>
    </w:p>
    <w:p>
      <w:pPr>
        <w:spacing w:before="240" w:after="240"/>
        <w:rPr>
          <w:lang w:val="el" w:eastAsia="el"/>
        </w:rPr>
      </w:pPr>
      <w:r>
        <w:rPr>
          <w:b/>
          <w:bCs/>
          <w:lang w:val="el" w:eastAsia="el"/>
        </w:rPr>
        <w:t>«2. Η αρμόδια Τελωνειακή Αρχή καθορίζει, ανάλογα με την παραγωγή και την ποσότητα των πρώτων υλών που δηλώνονται, τον χρόνο απόσταξης για κάθε παραγωγό, λαμβάνοντας υπόψη ότι ο χρόνος μιας μεμονωμένης απόσταξης (καζανιάς) είναι τρεισήμισι (3,5) ώρες και ότι ο άμβικας πληρούται με την προς απόσταξη πρώτη ύλη σε ποσοστό 77% της χωρητικότητάς του. Ο προσδιοριζόμενος με τον τρόπο αυτό συνολικός χρόνος απόσταξης αναγράφεται στη χορηγούμενη άδεια απόσταξης.»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ισχύς της παρούσας απόφασης αρχίζει από την 3</w:t>
      </w:r>
      <w:r>
        <w:rPr>
          <w:b/>
          <w:bCs/>
          <w:sz w:val="30"/>
          <w:szCs w:val="30"/>
          <w:vertAlign w:val="superscript"/>
          <w:lang w:val="el" w:eastAsia="el"/>
        </w:rPr>
        <w:t>η</w:t>
      </w:r>
      <w:r>
        <w:rPr>
          <w:b/>
          <w:bCs/>
          <w:lang w:val="el" w:eastAsia="el"/>
        </w:rPr>
        <w:t xml:space="preserve"> Οκτωβρίου 2022 και καταλαμβάνει και αποστάξεις για τις οποίες έχει ήδη εκδοθεί άδεια απόσταξης και θα πραγματοποιηθούν από την ημερομηνία αυτή και έπειτα.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ΑΠ.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Τελωνεία Α΄, Β΄&amp; Γ΄ τάξης</w:t>
      </w:r>
    </w:p>
    <w:p>
      <w:pPr>
        <w:spacing w:before="240" w:after="240"/>
        <w:rPr>
          <w:lang w:val="el" w:eastAsia="el"/>
        </w:rPr>
      </w:pPr>
      <w:r>
        <w:rPr>
          <w:lang w:val="el" w:eastAsia="el"/>
        </w:rPr>
        <w:t xml:space="preserve">3. </w:t>
      </w:r>
      <w:r>
        <w:rPr>
          <w:b/>
          <w:bCs/>
          <w:lang w:val="el" w:eastAsia="el"/>
        </w:rPr>
        <w:t>Χημικές υπηρεσίες</w:t>
      </w:r>
    </w:p>
    <w:p>
      <w:pPr>
        <w:spacing w:before="240" w:after="240"/>
        <w:rPr>
          <w:lang w:val="el" w:eastAsia="el"/>
        </w:rPr>
      </w:pPr>
      <w:r>
        <w:rPr>
          <w:lang w:val="el" w:eastAsia="el"/>
        </w:rPr>
        <w:t xml:space="preserve">4. </w:t>
      </w:r>
      <w:r>
        <w:rPr>
          <w:b/>
          <w:bCs/>
          <w:lang w:val="el" w:eastAsia="el"/>
        </w:rPr>
        <w:t>Διεύθυνση Επιχειρησιακών Διαδικασιών (ΔΙ.ΕΠΙ.ΔΙ.)</w:t>
      </w:r>
    </w:p>
    <w:p>
      <w:pPr>
        <w:pStyle w:val="StructureList1"/>
        <w:spacing w:before="120" w:after="0"/>
        <w:rPr>
          <w:lang w:val="el" w:eastAsia="el"/>
        </w:rPr>
      </w:pPr>
      <w:r>
        <w:rPr>
          <w:lang w:val="el" w:eastAsia="el"/>
        </w:rPr>
        <w:t>-</w:t>
      </w:r>
      <w:r>
        <w:rPr>
          <w:lang w:val="en" w:eastAsia="en"/>
        </w:rPr>
        <w:tab/>
      </w:r>
      <w:r>
        <w:rPr>
          <w:b/>
          <w:bCs/>
          <w:lang w:val="el" w:eastAsia="el"/>
        </w:rPr>
        <w:t>Τμήμα Ε΄</w:t>
      </w:r>
    </w:p>
    <w:p>
      <w:pPr>
        <w:spacing w:before="240" w:after="240"/>
        <w:rPr>
          <w:lang w:val="el" w:eastAsia="el"/>
        </w:rPr>
      </w:pPr>
      <w:r>
        <w:rPr>
          <w:lang w:val="el" w:eastAsia="el"/>
        </w:rPr>
        <w:t xml:space="preserve">5. </w:t>
      </w:r>
      <w:r>
        <w:rPr>
          <w:b/>
          <w:bCs/>
          <w:lang w:val="el" w:eastAsia="el"/>
        </w:rPr>
        <w:t>Δ/νση Στρατηγικής Τεχνολογιών Πληροφορικής</w:t>
      </w:r>
    </w:p>
    <w:p>
      <w:pPr>
        <w:spacing w:before="240" w:after="240"/>
        <w:rPr>
          <w:lang w:val="el" w:eastAsia="el"/>
        </w:rPr>
      </w:pPr>
      <w:r>
        <w:rPr>
          <w:b/>
          <w:bCs/>
          <w:lang w:val="el" w:eastAsia="el"/>
        </w:rPr>
        <w:t>(ΔΙ.Σ.ΤΕ.ΠΛ.) – Τμήμα Ε΄ (για ενημέρωση ηλεκτρονικής βιβλιοθήκης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Δ/νση Ανάπτυξης Τελωνειακών , Ελεγκτικών και Επιχειρησιακών Εφαρμογών (Δ.Α.Τ.Ε.) Υποδιεύθυνση Ανάπτυξης Τελωνειακών Εφαρμογών</w:t>
      </w:r>
    </w:p>
    <w:p>
      <w:pPr>
        <w:spacing w:before="240" w:after="240"/>
        <w:rPr>
          <w:lang w:val="el" w:eastAsia="el"/>
        </w:rPr>
      </w:pPr>
      <w:r>
        <w:rPr>
          <w:lang w:val="el" w:eastAsia="el"/>
        </w:rPr>
        <w:t xml:space="preserve">10. </w:t>
      </w:r>
      <w:r>
        <w:rPr>
          <w:b/>
          <w:bCs/>
          <w:lang w:val="el" w:eastAsia="el"/>
        </w:rPr>
        <w:t>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(Δ.Δ.Α.Δ.) β) Διεύθυνση Οργάνωσης</w:t>
      </w:r>
    </w:p>
    <w:p>
      <w:pPr>
        <w:spacing w:before="240" w:after="240"/>
        <w:rPr>
          <w:lang w:val="el" w:eastAsia="el"/>
        </w:rPr>
      </w:pPr>
      <w:r>
        <w:rPr>
          <w:lang w:val="el" w:eastAsia="el"/>
        </w:rPr>
        <w:t xml:space="preserve">11.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12.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w:t>
      </w:r>
    </w:p>
    <w:p>
      <w:pPr>
        <w:spacing w:before="240" w:after="240"/>
        <w:rPr>
          <w:lang w:val="el" w:eastAsia="el"/>
        </w:rPr>
      </w:pPr>
      <w:r>
        <w:rPr>
          <w:b/>
          <w:bCs/>
          <w:lang w:val="el" w:eastAsia="el"/>
        </w:rPr>
        <w:t>(Με την παράκληση να ενημέρωσει τους Συλλόγους Εκτελωνιστών) e-mail:</w:t>
      </w:r>
      <w:hyperlink r:id="rId7"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13. </w:t>
      </w:r>
      <w:r>
        <w:rPr>
          <w:b/>
          <w:bCs/>
          <w:lang w:val="el" w:eastAsia="el"/>
        </w:rPr>
        <w:t>Σύλλογος Εκτελωνιστών Πειραιώς – Αθηνών</w:t>
      </w:r>
    </w:p>
    <w:p>
      <w:pPr>
        <w:spacing w:before="240" w:after="240"/>
        <w:rPr>
          <w:lang w:val="el" w:eastAsia="el"/>
        </w:rPr>
      </w:pPr>
      <w:r>
        <w:rPr>
          <w:b/>
          <w:bCs/>
          <w:lang w:val="el" w:eastAsia="el"/>
        </w:rPr>
        <w:t>Τσαμαδού 38, ΤΚ 185 31 – ΠΕΙΡΑΙΑΣ</w:t>
      </w:r>
    </w:p>
    <w:p>
      <w:pPr>
        <w:spacing w:before="240" w:after="240"/>
        <w:rPr>
          <w:lang w:val="el" w:eastAsia="el"/>
        </w:rPr>
      </w:pPr>
      <w:r>
        <w:rPr>
          <w:b/>
          <w:bCs/>
          <w:lang w:val="el" w:eastAsia="el"/>
        </w:rPr>
        <w:t>e-mail:</w:t>
      </w:r>
      <w:hyperlink r:id="rId8" w:history="1">
        <w:r>
          <w:rPr>
            <w:rStyle w:val="Hyperlink"/>
            <w:b/>
            <w:bCs/>
            <w:color w:val="0000EE"/>
            <w:u w:color="0000EE"/>
            <w:lang w:val="el" w:eastAsia="el"/>
          </w:rPr>
          <w:t>sepa @ otenet.gr</w:t>
        </w:r>
      </w:hyperlink>
      <w:r>
        <w:rPr>
          <w:b/>
          <w:bCs/>
          <w:lang w:val="el" w:eastAsia="el"/>
        </w:rPr>
        <w:t>,</w:t>
      </w:r>
      <w:hyperlink r:id="rId9" w:history="1">
        <w:r>
          <w:rPr>
            <w:rStyle w:val="Hyperlink"/>
            <w:b/>
            <w:bCs/>
            <w:color w:val="0000EE"/>
            <w:u w:color="0000EE"/>
            <w:lang w:val="el" w:eastAsia="el"/>
          </w:rPr>
          <w:t>info@sepa .com .gr</w:t>
        </w:r>
      </w:hyperlink>
    </w:p>
    <w:p>
      <w:pPr>
        <w:spacing w:before="240" w:after="240"/>
        <w:rPr>
          <w:lang w:val="el" w:eastAsia="el"/>
        </w:rPr>
      </w:pPr>
      <w:r>
        <w:rPr>
          <w:b/>
          <w:bCs/>
          <w:lang w:val="el" w:eastAsia="el"/>
        </w:rPr>
        <w:t xml:space="preserve">14.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ΤΚ 546 25 - ΘΕΣΣΑΛΟΝΙΚΗ e-mail:</w:t>
      </w:r>
      <w:hyperlink r:id="rId10"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15. </w:t>
      </w:r>
      <w:r>
        <w:rPr>
          <w:b/>
          <w:bCs/>
          <w:lang w:val="el" w:eastAsia="el"/>
        </w:rPr>
        <w:t>Ομοσπονδία Συλλόγων Αμβικούχων Αμπελοκαλλιεργητών Ελλάδας (με την παράκληση να ενημερώσουν τα μέλη τους)</w:t>
      </w:r>
    </w:p>
    <w:p>
      <w:pPr>
        <w:spacing w:before="240" w:after="240"/>
        <w:rPr>
          <w:lang w:val="el" w:eastAsia="el"/>
        </w:rPr>
      </w:pPr>
      <w:r>
        <w:rPr>
          <w:b/>
          <w:bCs/>
          <w:lang w:val="el" w:eastAsia="el"/>
        </w:rPr>
        <w:t>Καραϊσκάκη 8</w:t>
      </w:r>
    </w:p>
    <w:p>
      <w:pPr>
        <w:spacing w:before="240" w:after="240"/>
        <w:rPr>
          <w:lang w:val="el" w:eastAsia="el"/>
        </w:rPr>
      </w:pPr>
      <w:r>
        <w:rPr>
          <w:b/>
          <w:bCs/>
          <w:lang w:val="el" w:eastAsia="el"/>
        </w:rPr>
        <w:t>Αγχίαλος Θεσ/νίκης</w:t>
      </w:r>
    </w:p>
    <w:p>
      <w:pPr>
        <w:spacing w:before="240" w:after="240"/>
        <w:rPr>
          <w:lang w:val="el" w:eastAsia="el"/>
        </w:rPr>
      </w:pPr>
      <w:r>
        <w:rPr>
          <w:b/>
          <w:bCs/>
          <w:lang w:val="el" w:eastAsia="el"/>
        </w:rPr>
        <w:t>Τ.Κ. 57011</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info@oaae.gr</w:t>
        </w:r>
        <w:r>
          <w:rPr>
            <w:rStyle w:val="Hyperlink"/>
            <w:b/>
            <w:bCs/>
            <w:color w:val="0000EE"/>
            <w:u w:color="0000EE"/>
            <w:lang w:val="el" w:eastAsia="el"/>
          </w:rPr>
          <w:t>,</w:t>
        </w:r>
      </w:hyperlink>
      <w:hyperlink r:id="rId12" w:history="1">
        <w:r>
          <w:rPr>
            <w:rStyle w:val="Hyperlink"/>
            <w:b/>
            <w:bCs/>
            <w:color w:val="0000EE"/>
            <w:u w:color="0000EE"/>
            <w:lang w:val="el" w:eastAsia="el"/>
          </w:rPr>
          <w:t>omospoamvik@gmail.com</w:t>
        </w:r>
      </w:hyperlink>
    </w:p>
    <w:p>
      <w:pPr>
        <w:spacing w:before="240" w:after="240"/>
        <w:rPr>
          <w:lang w:val="el" w:eastAsia="el"/>
        </w:rPr>
      </w:pPr>
      <w:r>
        <w:rPr>
          <w:b/>
          <w:bCs/>
          <w:lang w:val="el" w:eastAsia="el"/>
        </w:rPr>
        <w:t xml:space="preserve">16. </w:t>
      </w:r>
      <w:r>
        <w:rPr>
          <w:b/>
          <w:bCs/>
          <w:lang w:val="el" w:eastAsia="el"/>
        </w:rPr>
        <w:t>Σύλλογος Παραδοσιακών Αποσταγματοποιών Τσικουδιάς</w:t>
      </w:r>
    </w:p>
    <w:p>
      <w:pPr>
        <w:spacing w:before="240" w:after="240"/>
        <w:rPr>
          <w:lang w:val="el" w:eastAsia="el"/>
        </w:rPr>
      </w:pPr>
      <w:r>
        <w:rPr>
          <w:b/>
          <w:bCs/>
          <w:lang w:val="el" w:eastAsia="el"/>
        </w:rPr>
        <w:t>Ν. Ηρακλείου Κρήτης (Σ.Π.Α.Τ.Ν.Η.)</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Λεωφόρος Μαρτύρων 146</w:t>
      </w:r>
    </w:p>
    <w:p>
      <w:pPr>
        <w:spacing w:before="240" w:after="240"/>
        <w:rPr>
          <w:lang w:val="el" w:eastAsia="el"/>
        </w:rPr>
      </w:pPr>
      <w:r>
        <w:rPr>
          <w:b/>
          <w:bCs/>
          <w:lang w:val="el" w:eastAsia="el"/>
        </w:rPr>
        <w:t>710 00 Ηράκλειο</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oacni.crta@gmail.com</w:t>
        </w:r>
      </w:hyperlink>
    </w:p>
    <w:p>
      <w:pPr>
        <w:spacing w:before="240" w:after="240"/>
        <w:rPr>
          <w:lang w:val="el" w:eastAsia="el"/>
        </w:rPr>
      </w:pPr>
      <w:r>
        <w:rPr>
          <w:b/>
          <w:bCs/>
          <w:lang w:val="el" w:eastAsia="el"/>
        </w:rPr>
        <w:t xml:space="preserve">17. </w:t>
      </w:r>
      <w:r>
        <w:rPr>
          <w:b/>
          <w:bCs/>
          <w:lang w:val="el" w:eastAsia="el"/>
        </w:rPr>
        <w:t>Σύλλογος Διήμερων Αποσταγματοποιών και μικρών Αμπελουργών Θεσπρωτίας 1</w:t>
      </w:r>
      <w:r>
        <w:rPr>
          <w:b/>
          <w:bCs/>
          <w:sz w:val="30"/>
          <w:szCs w:val="30"/>
          <w:vertAlign w:val="superscript"/>
          <w:lang w:val="el" w:eastAsia="el"/>
        </w:rPr>
        <w:t>ο</w:t>
      </w:r>
      <w:r>
        <w:rPr>
          <w:b/>
          <w:bCs/>
          <w:lang w:val="el" w:eastAsia="el"/>
        </w:rPr>
        <w:t xml:space="preserve"> χιλ. Ν. Σελευκείας – Σαγιάδας</w:t>
      </w:r>
    </w:p>
    <w:p>
      <w:pPr>
        <w:spacing w:before="240" w:after="240"/>
        <w:rPr>
          <w:lang w:val="el" w:eastAsia="el"/>
        </w:rPr>
      </w:pPr>
      <w:r>
        <w:rPr>
          <w:b/>
          <w:bCs/>
          <w:lang w:val="el" w:eastAsia="el"/>
        </w:rPr>
        <w:t>46100 Ηγουμενίτσα</w:t>
      </w:r>
    </w:p>
    <w:p>
      <w:pPr>
        <w:spacing w:before="240" w:after="240"/>
        <w:rPr>
          <w:lang w:val="el" w:eastAsia="el"/>
        </w:rPr>
      </w:pPr>
      <w:r>
        <w:rPr>
          <w:b/>
          <w:bCs/>
          <w:lang w:val="el" w:eastAsia="el"/>
        </w:rPr>
        <w:t>(δια της πληρεξουσίου δικηγόρου)</w:t>
      </w:r>
    </w:p>
    <w:p>
      <w:pPr>
        <w:spacing w:before="240" w:after="240"/>
        <w:rPr>
          <w:lang w:val="el" w:eastAsia="el"/>
        </w:rPr>
      </w:pPr>
      <w:r>
        <w:rPr>
          <w:b/>
          <w:bCs/>
          <w:lang w:val="el" w:eastAsia="el"/>
        </w:rPr>
        <w:t>e-mail: ι</w:t>
      </w:r>
      <w:hyperlink r:id="rId14" w:history="1">
        <w:r>
          <w:rPr>
            <w:rStyle w:val="Hyperlink"/>
            <w:b/>
            <w:bCs/>
            <w:color w:val="0000EE"/>
            <w:u w:color="0000EE"/>
            <w:lang w:val="el" w:eastAsia="el"/>
          </w:rPr>
          <w:t>info@theodoraliontou.gr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Προϊσταμένη Γεν. Δ/νσης Γ.Χ.Κ.</w:t>
      </w:r>
    </w:p>
    <w:p>
      <w:pPr>
        <w:spacing w:before="240" w:after="240"/>
        <w:rPr>
          <w:lang w:val="el" w:eastAsia="el"/>
        </w:rPr>
      </w:pPr>
      <w:r>
        <w:rPr>
          <w:b/>
          <w:bCs/>
          <w:lang w:val="el" w:eastAsia="el"/>
        </w:rPr>
        <w:t>β)Δ/νση Αλκοόλης &amp; Τροφίμων/Τμήμα Α΄</w:t>
      </w:r>
    </w:p>
    <w:p>
      <w:pPr>
        <w:spacing w:before="240" w:after="240"/>
        <w:rPr>
          <w:lang w:val="el" w:eastAsia="el"/>
        </w:rPr>
      </w:pPr>
      <w:r>
        <w:rPr>
          <w:b/>
          <w:bCs/>
          <w:lang w:val="el" w:eastAsia="el"/>
        </w:rPr>
        <w:t xml:space="preserve">3. </w:t>
      </w:r>
      <w:r>
        <w:rPr>
          <w:b/>
          <w:bCs/>
          <w:lang w:val="el" w:eastAsia="el"/>
        </w:rPr>
        <w:t>ΓενικήΔιεύθυνση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Στρατηγικής Τελωνειακών Ελέγχων &amp;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Ειδικών Φόρων Κατανάλωσης &amp; ΦΠΑ/Τμήμα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info@oaae.gr" TargetMode="External" /><Relationship Id="rId12" Type="http://schemas.openxmlformats.org/officeDocument/2006/relationships/hyperlink" Target="mailto:omospoamvik@gmail.com" TargetMode="External" /><Relationship Id="rId13" Type="http://schemas.openxmlformats.org/officeDocument/2006/relationships/hyperlink" Target="mailto:oacni.crta@gmail.com" TargetMode="External" /><Relationship Id="rId14" Type="http://schemas.openxmlformats.org/officeDocument/2006/relationships/hyperlink" Target="mailto:info@theodoraliontou.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pa.co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