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30/002/000/72</w:t>
      </w:r>
      <w:r>
        <w:rPr>
          <w:lang w:val="el" w:eastAsia="el"/>
        </w:rPr>
        <w:t xml:space="preserve">18 </w:t>
      </w:r>
    </w:p>
    <w:p>
      <w:pPr>
        <w:pStyle w:val="PreambelText"/>
        <w:spacing w:before="240" w:after="240"/>
        <w:rPr>
          <w:lang w:val="el" w:eastAsia="el"/>
        </w:rPr>
      </w:pPr>
      <w:r>
        <w:rPr>
          <w:b/>
          <w:bCs/>
          <w:lang w:val="el" w:eastAsia="el"/>
        </w:rPr>
        <w:t>Είσπραξη Δ.Ε.Χ.Ε. μέσω e-παραβόλου (e-ΔΕΧΕ).</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 του α.ν. 1819/1951 «Περί του τρόπου διεξαγωγής των πάσης φύσεως συναλλαγών του Δημοσίου» (Α’ 149),</w:t>
      </w:r>
    </w:p>
    <w:p>
      <w:pPr>
        <w:pStyle w:val="StructureList1"/>
        <w:spacing w:before="120" w:after="0"/>
        <w:rPr>
          <w:lang w:val="el" w:eastAsia="el"/>
        </w:rPr>
      </w:pPr>
      <w:r>
        <w:rPr>
          <w:lang w:val="el" w:eastAsia="el"/>
        </w:rPr>
        <w:t>β)</w:t>
      </w:r>
      <w:r>
        <w:rPr>
          <w:lang w:val="en" w:eastAsia="en"/>
        </w:rPr>
        <w:tab/>
      </w:r>
      <w:r>
        <w:rPr>
          <w:lang w:val="el" w:eastAsia="el"/>
        </w:rPr>
        <w:t>του άρθρου 82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παρ. 3 του άρθρου 29 του ν. 3943/2011 «Καταπολέμηση της φοροδιαφυγής, στελέχωση των ελεγκτικών υπηρεσιών και άλλες διατάξεις αρμοδιότητας Υπουργείου Οικονομικών» (Α’ 66),</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3. Την υπ’ αρ. 3018074/7656/0078/2.12.1994 απόφαση του Υπουργού Οικονομικών «Καθορισμός ενιαίου ωρομισθίου που θα λαμβάνεται ως βάση για το ύψος των εισπραττομένων Δ.Ε.Χ.Ε.» (Β’ 906), όπως αυτή τροποποιήθηκε από την υπ’ αρ. 3002323/1277/0078/2.2.2000 απόφαση του Υφυπουργού Οικονομικών (Β’ 151).</w:t>
      </w:r>
    </w:p>
    <w:p>
      <w:pPr>
        <w:pStyle w:val="PreambelText"/>
        <w:spacing w:before="240" w:after="240"/>
        <w:rPr>
          <w:lang w:val="el" w:eastAsia="el"/>
        </w:rPr>
      </w:pPr>
      <w:r>
        <w:rPr>
          <w:lang w:val="el" w:eastAsia="el"/>
        </w:rPr>
        <w:t>4. Την υπ’ αρ. 3018075/7657/0078/2.12.1994 απόφαση του Υπουργού Οικονομικών «Καθορισμός τρόπου είσπραξης Δ.Ε.Χ.Ε.» (Β’ 906).</w:t>
      </w:r>
    </w:p>
    <w:p>
      <w:pPr>
        <w:pStyle w:val="PreambelText"/>
        <w:spacing w:before="240" w:after="240"/>
        <w:rPr>
          <w:lang w:val="el" w:eastAsia="el"/>
        </w:rPr>
      </w:pPr>
      <w:r>
        <w:rPr>
          <w:lang w:val="el" w:eastAsia="el"/>
        </w:rPr>
        <w:t>5. Την υπό στοιχεία Α.1047/12-03-2020 κοινή απόφαση του Υφυπουργού Οικονομικών και του Υπουργού Επικρατείας «Όροι και διαδικασία είσπραξης - επιστροφής για την εφαρμογή του ηλεκτρονικού παραβόλου» (Β’ 979).</w:t>
      </w:r>
    </w:p>
    <w:p>
      <w:pPr>
        <w:pStyle w:val="PreambelText"/>
        <w:spacing w:before="240" w:after="240"/>
        <w:rPr>
          <w:lang w:val="el" w:eastAsia="el"/>
        </w:rPr>
      </w:pPr>
      <w:r>
        <w:rPr>
          <w:lang w:val="el" w:eastAsia="el"/>
        </w:rPr>
        <w:t>6.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 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7. Την ανάγκη διευκόλυνσης και απλοποίησης των συναλλαγών και επέκτασης της εφαρμογής του ηλεκτρονικού παραβόλου στην είσπραξη των Δικαιωμάτων Εκτέλεσης Χημικών Εργασιών (Δ.Ε.Χ.Ε.).</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απόφασης είναι η απλοποίηση της διαδικασίας είσπραξης των Δικαιωμάτων Εκτέλεσης Χημικών Εργασιών (ΔΕΧΕ) μέσω e-Παραβόλου (e-ΔΕΧΕ).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είσπραξης Δ.Ε.Χ.Ε.</w:t>
      </w:r>
    </w:p>
    <w:p>
      <w:pPr>
        <w:pStyle w:val="MainText"/>
        <w:spacing w:before="120" w:after="0"/>
        <w:rPr>
          <w:lang w:val="el" w:eastAsia="el"/>
        </w:rPr>
      </w:pPr>
      <w:r>
        <w:rPr>
          <w:b/>
          <w:bCs/>
          <w:lang w:val="el" w:eastAsia="el"/>
        </w:rPr>
        <w:t>1.</w:t>
      </w:r>
      <w:r>
        <w:rPr>
          <w:lang w:val="el" w:eastAsia="el"/>
        </w:rPr>
        <w:t xml:space="preserve"> Ο ενδιαφερόμενος για εκτέλεση χημικών εργασιών και ελέγχων από τους υπαλλήλους της Γενικής Διεύθυνσης του Γενικού Χημείου του Κράτους (Γ.Δ.Γ.Χ.Κ.) εκτός κανονικού ωραρίου αυτών ή εκτός του καταστήματος της Οργανικής Μονάδας που υπηρετούν, υποβάλλει σχετική αίτηση προς την αρμόδια Οργανική Μονάδα της Γ.Δ.Γ.Χ.Κ., προκειμένου να εγκριθεί η εκτέλεση των αιτούμενων χημικών εργασιών.</w:t>
      </w:r>
    </w:p>
    <w:p>
      <w:pPr>
        <w:pStyle w:val="MainText"/>
        <w:spacing w:before="120" w:after="0"/>
        <w:rPr>
          <w:lang w:val="el" w:eastAsia="el"/>
        </w:rPr>
      </w:pPr>
      <w:r>
        <w:rPr>
          <w:b/>
          <w:bCs/>
          <w:lang w:val="el" w:eastAsia="el"/>
        </w:rPr>
        <w:t>2.</w:t>
      </w:r>
      <w:r>
        <w:rPr>
          <w:lang w:val="el" w:eastAsia="el"/>
        </w:rPr>
        <w:t xml:space="preserve"> Η αίτηση αυτή περιλαμβάνει τα παρακάτω στοιχεία:</w:t>
      </w:r>
    </w:p>
    <w:p>
      <w:pPr>
        <w:spacing w:before="240" w:after="240"/>
        <w:rPr>
          <w:lang w:val="el" w:eastAsia="el"/>
        </w:rPr>
      </w:pPr>
      <w:r>
        <w:rPr>
          <w:lang w:val="el" w:eastAsia="el"/>
        </w:rPr>
        <w:t>i. Το ονοματεπώνυμο, το ΑΦΜ και τη διεύθυνση του ενδιαφερόμενου και του μεσολαβούντος εκτελωνιστή ή αντιπροσώπου, εφόσον υπάρχει.</w:t>
      </w:r>
    </w:p>
    <w:p>
      <w:pPr>
        <w:spacing w:before="240" w:after="240"/>
        <w:rPr>
          <w:lang w:val="el" w:eastAsia="el"/>
        </w:rPr>
      </w:pPr>
      <w:r>
        <w:rPr>
          <w:lang w:val="el" w:eastAsia="el"/>
        </w:rPr>
        <w:t>ii. Το είδος και τον αριθμό του σχετικού παραστατικού, εφόσον υπάρχει.</w:t>
      </w:r>
    </w:p>
    <w:p>
      <w:pPr>
        <w:spacing w:before="240" w:after="240"/>
        <w:rPr>
          <w:lang w:val="el" w:eastAsia="el"/>
        </w:rPr>
      </w:pPr>
      <w:r>
        <w:rPr>
          <w:lang w:val="el" w:eastAsia="el"/>
        </w:rPr>
        <w:t>iii. Το είδος της αιτούμενης εργασίας.</w:t>
      </w:r>
    </w:p>
    <w:p>
      <w:pPr>
        <w:spacing w:before="240" w:after="240"/>
        <w:rPr>
          <w:lang w:val="el" w:eastAsia="el"/>
        </w:rPr>
      </w:pPr>
      <w:r>
        <w:rPr>
          <w:lang w:val="el" w:eastAsia="el"/>
        </w:rPr>
        <w:t>iv. Την ημερομηνία υποβολής.</w:t>
      </w:r>
    </w:p>
    <w:p>
      <w:pPr>
        <w:pStyle w:val="MainText"/>
        <w:spacing w:before="120" w:after="0"/>
        <w:rPr>
          <w:lang w:val="el" w:eastAsia="el"/>
        </w:rPr>
      </w:pPr>
      <w:r>
        <w:rPr>
          <w:b/>
          <w:bCs/>
          <w:lang w:val="el" w:eastAsia="el"/>
        </w:rPr>
        <w:t>3.</w:t>
      </w:r>
      <w:r>
        <w:rPr>
          <w:lang w:val="el" w:eastAsia="el"/>
        </w:rPr>
        <w:t xml:space="preserve"> Εφόσον οι αιτούμενες χημικές εργασίες εγκριθούν από τον Προϊστάμενο της Οργανικής Μονάδας ή από τον υπ’ αυτού οριζόμενο αρμόδιο υπάλληλο, υπολογίζονται τα οφειλόμενα ποσά για την εκτέλεση των ως άνω εργασιών και συντάσσεται σχετικό Ενημερωτικό Σημείωμα, με αριθμό πρωτοκόλλου, από την κατά τόπον αρμόδια Οργανική Μονάδα της Γ.Δ.Γ.Χ.Κ., στην οποία υποβλήθηκε η αίτηση, με σκοπό τη γνωστοποίηση στον ενδιαφερόμενο - αιτούντα του ποσού της οφειλής και της διαδικασίας καταβολής του [Δικαιώματα Εκτέλεσης Χημικών Εργασιών (Δ.Ε.Χ.Ε.)], μέσω e-παραβόλου, σύμφωνα με τα ειδικότερα οριζόμενα στην υπό στοιχεία Α.1047/2020 κοινή υπουργική απόφαση.</w:t>
      </w:r>
    </w:p>
    <w:p>
      <w:pPr>
        <w:pStyle w:val="MainText"/>
        <w:spacing w:before="120" w:after="0"/>
        <w:rPr>
          <w:lang w:val="el" w:eastAsia="el"/>
        </w:rPr>
      </w:pPr>
      <w:r>
        <w:rPr>
          <w:b/>
          <w:bCs/>
          <w:lang w:val="el" w:eastAsia="el"/>
        </w:rPr>
        <w:t>4.</w:t>
      </w:r>
      <w:r>
        <w:rPr>
          <w:lang w:val="el" w:eastAsia="el"/>
        </w:rPr>
        <w:t xml:space="preserve"> Η καταβολή και η είσπραξη Δ.Ε.Χ.Ε., διενεργείται, αποκλειστικά και μόνο, μέσω της υπηρεσίας e-παράβολο (e-ΔΕΧΕ).</w:t>
      </w:r>
    </w:p>
    <w:p>
      <w:pPr>
        <w:pStyle w:val="MainText"/>
        <w:spacing w:before="120" w:after="0"/>
        <w:rPr>
          <w:lang w:val="el" w:eastAsia="el"/>
        </w:rPr>
      </w:pPr>
      <w:r>
        <w:rPr>
          <w:b/>
          <w:bCs/>
          <w:lang w:val="el" w:eastAsia="el"/>
        </w:rPr>
        <w:t>5.</w:t>
      </w:r>
      <w:r>
        <w:rPr>
          <w:lang w:val="el" w:eastAsia="el"/>
        </w:rPr>
        <w:t xml:space="preserve"> Η δέσμευση του e-παραβόλου από τον αρμόδιο υπάλληλο της Οργανικής Μονάδας επέχει θέση βεβαίωσης της είσπραξης.</w:t>
      </w:r>
    </w:p>
    <w:p>
      <w:pPr>
        <w:pStyle w:val="MainText"/>
        <w:spacing w:before="120" w:after="0"/>
        <w:rPr>
          <w:lang w:val="el" w:eastAsia="el"/>
        </w:rPr>
      </w:pPr>
      <w:r>
        <w:rPr>
          <w:b/>
          <w:bCs/>
          <w:lang w:val="el" w:eastAsia="el"/>
        </w:rPr>
        <w:t>6.</w:t>
      </w:r>
      <w:r>
        <w:rPr>
          <w:lang w:val="el" w:eastAsia="el"/>
        </w:rPr>
        <w:t xml:space="preserve"> Οι τακτοποιημένες αιτήσεις Εκτελέσεως Χημικών Εργασιών υποβάλλονται στο τέλος κάθε μήνα στη Διεύθυνση Σχεδιασμού και Υποστήριξης Εργαστηρίων (Δ.Σ.ΥΠ.Ε.) της Γ.Δ.Γ.Χ.Κ.</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Αποστολή μηνιαίας κατάστασης eπαραβόλων</w:t>
      </w:r>
    </w:p>
    <w:p>
      <w:pPr>
        <w:spacing w:before="240" w:after="240"/>
        <w:rPr>
          <w:lang w:val="el" w:eastAsia="el"/>
        </w:rPr>
      </w:pPr>
      <w:r>
        <w:rPr>
          <w:lang w:val="el" w:eastAsia="el"/>
        </w:rPr>
        <w:t>Η Γενική Γραμματεία Πληροφοριακών Συστημάτων Δημόσιας Διοίκησης (Γ.Γ.Π.Σ.Δ.Δ.) συντάσσει, σε μηνιαία βάση, αναλυτική κατάσταση των e-παραβόλων, για αιτήσεις Δ.Ε.Χ.Ε. που υποβλήθηκαν, εντός του μήνα αναφοράς, ανά Οργανική Μονάδα της Γ.Δ.Γ.Χ.Κ.</w:t>
      </w:r>
    </w:p>
    <w:p>
      <w:pPr>
        <w:spacing w:before="240" w:after="240"/>
        <w:rPr>
          <w:lang w:val="el" w:eastAsia="el"/>
        </w:rPr>
      </w:pPr>
      <w:r>
        <w:rPr>
          <w:lang w:val="el" w:eastAsia="el"/>
        </w:rPr>
        <w:t>Στην κατάσταση περιλαμβάνονται τα κάτωθι στοιχεία για κάθε e-παράβολο:</w:t>
      </w:r>
    </w:p>
    <w:p>
      <w:pPr>
        <w:pStyle w:val="MainText"/>
        <w:spacing w:before="120" w:after="0"/>
        <w:rPr>
          <w:lang w:val="el" w:eastAsia="el"/>
        </w:rPr>
      </w:pPr>
      <w:r>
        <w:rPr>
          <w:b/>
          <w:bCs/>
          <w:lang w:val="el" w:eastAsia="el"/>
        </w:rPr>
        <w:t>1.</w:t>
      </w:r>
      <w:r>
        <w:rPr>
          <w:lang w:val="el" w:eastAsia="el"/>
        </w:rPr>
        <w:t xml:space="preserve"> Οργανική Μονάδα της Γ.Δ.Γ.Χ.Κ..</w:t>
      </w:r>
    </w:p>
    <w:p>
      <w:pPr>
        <w:pStyle w:val="MainText"/>
        <w:spacing w:before="120" w:after="0"/>
        <w:rPr>
          <w:lang w:val="el" w:eastAsia="el"/>
        </w:rPr>
      </w:pPr>
      <w:r>
        <w:rPr>
          <w:b/>
          <w:bCs/>
          <w:lang w:val="el" w:eastAsia="el"/>
        </w:rPr>
        <w:t>2.</w:t>
      </w:r>
      <w:r>
        <w:rPr>
          <w:lang w:val="el" w:eastAsia="el"/>
        </w:rPr>
        <w:t xml:space="preserve"> Αριθμός πρωτοκόλλου Ενημερωτικού Σημειώματος.</w:t>
      </w:r>
    </w:p>
    <w:p>
      <w:pPr>
        <w:pStyle w:val="MainText"/>
        <w:spacing w:before="120" w:after="0"/>
        <w:rPr>
          <w:lang w:val="el" w:eastAsia="el"/>
        </w:rPr>
      </w:pPr>
      <w:r>
        <w:rPr>
          <w:b/>
          <w:bCs/>
          <w:lang w:val="el" w:eastAsia="el"/>
        </w:rPr>
        <w:t>3.</w:t>
      </w:r>
      <w:r>
        <w:rPr>
          <w:lang w:val="el" w:eastAsia="el"/>
        </w:rPr>
        <w:t xml:space="preserve"> Αριθμός e-Παραβόλου.</w:t>
      </w:r>
    </w:p>
    <w:p>
      <w:pPr>
        <w:pStyle w:val="MainText"/>
        <w:spacing w:before="120" w:after="0"/>
        <w:rPr>
          <w:lang w:val="el" w:eastAsia="el"/>
        </w:rPr>
      </w:pPr>
      <w:r>
        <w:rPr>
          <w:b/>
          <w:bCs/>
          <w:lang w:val="el" w:eastAsia="el"/>
        </w:rPr>
        <w:t>4.</w:t>
      </w:r>
      <w:r>
        <w:rPr>
          <w:lang w:val="el" w:eastAsia="el"/>
        </w:rPr>
        <w:t xml:space="preserve"> Στοιχεία αιτούντα</w:t>
      </w:r>
    </w:p>
    <w:p>
      <w:pPr>
        <w:pStyle w:val="MainText"/>
        <w:spacing w:before="120" w:after="0"/>
        <w:rPr>
          <w:lang w:val="el" w:eastAsia="el"/>
        </w:rPr>
      </w:pPr>
      <w:r>
        <w:rPr>
          <w:b/>
          <w:bCs/>
          <w:lang w:val="el" w:eastAsia="el"/>
        </w:rPr>
        <w:t>5.</w:t>
      </w:r>
      <w:r>
        <w:rPr>
          <w:lang w:val="el" w:eastAsia="el"/>
        </w:rPr>
        <w:t xml:space="preserve"> Ποσό οφειλής Δ.Ε.Χ.Ε..</w:t>
      </w:r>
    </w:p>
    <w:p>
      <w:pPr>
        <w:pStyle w:val="MainText"/>
        <w:spacing w:before="120" w:after="0"/>
        <w:rPr>
          <w:lang w:val="el" w:eastAsia="el"/>
        </w:rPr>
      </w:pPr>
      <w:r>
        <w:rPr>
          <w:b/>
          <w:bCs/>
          <w:lang w:val="el" w:eastAsia="el"/>
        </w:rPr>
        <w:t>6.</w:t>
      </w:r>
      <w:r>
        <w:rPr>
          <w:lang w:val="el" w:eastAsia="el"/>
        </w:rPr>
        <w:t xml:space="preserve"> Ημερομηνία έκδοσης, καταβολής και δέσμευσης e-Παραβόλου.</w:t>
      </w:r>
    </w:p>
    <w:p>
      <w:pPr>
        <w:spacing w:before="240" w:after="240"/>
        <w:rPr>
          <w:lang w:val="el" w:eastAsia="el"/>
        </w:rPr>
      </w:pPr>
      <w:r>
        <w:rPr>
          <w:lang w:val="el" w:eastAsia="el"/>
        </w:rPr>
        <w:t>Την ως άνω κατάσταση αποστέλλει η Γ.Γ.Π.Σ.Δ.Δ. εντός των δέκα (10) πρώτων ημερών από το πέρας εκάστου μήνα αναφοράς στη (Δ.Σ.ΥΠ.Ε.), καθώς και στην εκάστοτε Οργανική Μονάδα της Γ.Δ.Γ.Χ.Κ.</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Δημόσια Έσοδα</w:t>
      </w:r>
    </w:p>
    <w:p>
      <w:pPr>
        <w:spacing w:before="240" w:after="240"/>
        <w:rPr>
          <w:lang w:val="el" w:eastAsia="el"/>
        </w:rPr>
      </w:pPr>
      <w:r>
        <w:rPr>
          <w:lang w:val="el" w:eastAsia="el"/>
        </w:rPr>
        <w:t>Τα ποσά που εισπράττονται μέσω e-παραβόλου (e-ΔΕΧΕ) αποτελούν έσοδα του Ελληνικού Δημοσίου και εμφανίζονται στον Αναλυτικό Λογαριασμό Εσόδων (ΑΛΕ) 1420403001 (Έσοδα από τη διενέργεια χημικών ελέγχων) του κρατικού προϋπολογισμού.</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της παρούσας καταργείται κάθε προγενέστερη αντίθετη με τα ανωτέρω διάταξη απόφασης.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παρούσας απόφασης αρχίζει τρεις (3) μήνες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Οκτωβρίου 2022</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