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ΤΜΗΜΑ Ι</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Ρ1ΜΙ46ΜΠ3Ζ-ΩΡ4</w:t>
      </w:r>
    </w:p>
    <w:p>
      <w:pPr>
        <w:spacing w:before="240" w:after="240"/>
        <w:rPr>
          <w:lang w:val="el" w:eastAsia="el"/>
        </w:rPr>
      </w:pPr>
      <w:r>
        <w:rPr>
          <w:b/>
          <w:bCs/>
          <w:lang w:val="el" w:eastAsia="el"/>
        </w:rPr>
        <w:t>Αριθ. ΦΕΚ: 5241/Β’/10-10-2022 &amp;</w:t>
      </w:r>
    </w:p>
    <w:p>
      <w:pPr>
        <w:spacing w:before="240" w:after="240"/>
        <w:rPr>
          <w:lang w:val="el" w:eastAsia="el"/>
        </w:rPr>
      </w:pPr>
      <w:r>
        <w:rPr>
          <w:b/>
          <w:bCs/>
          <w:lang w:val="el" w:eastAsia="el"/>
        </w:rPr>
        <w:t>5246/Β’/10-10-2022</w:t>
      </w:r>
    </w:p>
    <w:p>
      <w:pPr>
        <w:spacing w:before="240" w:after="240"/>
        <w:rPr>
          <w:lang w:val="el" w:eastAsia="el"/>
        </w:rPr>
      </w:pPr>
      <w:r>
        <w:rPr>
          <w:b/>
          <w:bCs/>
          <w:lang w:val="el" w:eastAsia="el"/>
        </w:rPr>
        <w:t>Μοσχάτο, 05 Οκτωβρίου 2022</w:t>
      </w:r>
    </w:p>
    <w:p>
      <w:pPr>
        <w:spacing w:before="240" w:after="240"/>
        <w:rPr>
          <w:lang w:val="el" w:eastAsia="el"/>
        </w:rPr>
      </w:pPr>
      <w:r>
        <w:rPr>
          <w:b/>
          <w:bCs/>
          <w:lang w:val="el" w:eastAsia="el"/>
        </w:rPr>
        <w:t>Α.1134</w:t>
      </w:r>
    </w:p>
    <w:p>
      <w:pPr>
        <w:spacing w:before="240" w:after="240"/>
        <w:rPr>
          <w:lang w:val="el" w:eastAsia="el"/>
        </w:rPr>
      </w:pPr>
      <w:r>
        <w:rPr>
          <w:b/>
          <w:bCs/>
          <w:lang w:val="el" w:eastAsia="el"/>
        </w:rPr>
        <w:t xml:space="preserve">Χανδρή 1 και Θεσ/κης 18346, Μοσχάτο 210 480 2243/2873 </w:t>
      </w:r>
      <w:hyperlink r:id="rId4" w:history="1">
        <w:r>
          <w:rPr>
            <w:rStyle w:val="Hyperlink"/>
            <w:b/>
            <w:bCs/>
            <w:color w:val="0000EE"/>
            <w:u w:color="0000EE"/>
            <w:lang w:val="el" w:eastAsia="el"/>
          </w:rPr>
          <w:t>d.eleg11@aade.gr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Τροποποίηση της υπό στοιχεία ΠΟΛ 1006/31-12-2013 απόφασης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άρθρων 10 και 11 του ν.4174/2013 (A’ 170),</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 Α΄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Δ.ΟΡΓ.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StructureList1"/>
        <w:spacing w:before="120" w:after="0"/>
        <w:rPr>
          <w:lang w:val="el" w:eastAsia="el"/>
        </w:rPr>
      </w:pPr>
      <w:r>
        <w:rPr>
          <w:b/>
          <w:bCs/>
          <w:lang w:val="el" w:eastAsia="el"/>
        </w:rPr>
        <w:t>δ)</w:t>
      </w:r>
      <w:r>
        <w:rPr>
          <w:b/>
          <w:bCs/>
          <w:lang w:val="en" w:eastAsia="en"/>
        </w:rPr>
        <w:tab/>
      </w:r>
      <w:r>
        <w:rPr>
          <w:b/>
          <w:bCs/>
          <w:lang w:val="el" w:eastAsia="el"/>
        </w:rPr>
        <w:t>της υπό στοιχεία Δ.ΟΡΓ. Α 1065199 ΕΞ 2022/20-07-2022 απόφασης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(Β΄3886).</w:t>
      </w:r>
    </w:p>
    <w:p>
      <w:pPr>
        <w:spacing w:before="240" w:after="240"/>
        <w:rPr>
          <w:lang w:val="el" w:eastAsia="el"/>
        </w:rPr>
      </w:pPr>
      <w:r>
        <w:rPr>
          <w:b/>
          <w:bCs/>
          <w:lang w:val="el" w:eastAsia="el"/>
        </w:rPr>
        <w:t xml:space="preserve">2. </w:t>
      </w:r>
      <w:r>
        <w:rPr>
          <w:b/>
          <w:bCs/>
          <w:lang w:val="el" w:eastAsia="el"/>
        </w:rPr>
        <w:t>Τις υπό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ΠΟΛ 1006/31-12-2013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w:t>
      </w:r>
    </w:p>
    <w:p>
      <w:pPr>
        <w:pStyle w:val="StructureList1"/>
        <w:spacing w:before="120" w:after="0"/>
        <w:rPr>
          <w:lang w:val="el" w:eastAsia="el"/>
        </w:rPr>
      </w:pPr>
      <w:r>
        <w:rPr>
          <w:b/>
          <w:bCs/>
          <w:lang w:val="el" w:eastAsia="el"/>
        </w:rPr>
        <w:t>β)</w:t>
      </w:r>
      <w:r>
        <w:rPr>
          <w:b/>
          <w:bCs/>
          <w:lang w:val="en" w:eastAsia="en"/>
        </w:rPr>
        <w:tab/>
      </w:r>
      <w:r>
        <w:rPr>
          <w:b/>
          <w:bCs/>
          <w:lang w:val="el" w:eastAsia="el"/>
        </w:rPr>
        <w:t>ΠΟΛ 1123/30-04-2014 απόφαση του Γενικού Γραμματέα της Γενικής Γραμματείας Δημοσίων Εσόδων «Μεταβολή της διεύθυνσης κατοικίας, των στοιχείων του δελτίου αστυνομικής ταυτότητας καθώς και των προσωπικών στοιχείων των φορολογουμένων, με ηλεκτρονικές διαδικασίες» (Β΄1220),</w:t>
      </w:r>
    </w:p>
    <w:p>
      <w:pPr>
        <w:pStyle w:val="StructureList1"/>
        <w:spacing w:before="120" w:after="0"/>
        <w:rPr>
          <w:lang w:val="el" w:eastAsia="el"/>
        </w:rPr>
      </w:pPr>
      <w:r>
        <w:rPr>
          <w:b/>
          <w:bCs/>
          <w:lang w:val="el" w:eastAsia="el"/>
        </w:rPr>
        <w:t>γ)</w:t>
      </w:r>
      <w:r>
        <w:rPr>
          <w:b/>
          <w:bCs/>
          <w:lang w:val="en" w:eastAsia="en"/>
        </w:rPr>
        <w:tab/>
      </w:r>
      <w:r>
        <w:rPr>
          <w:b/>
          <w:bCs/>
          <w:lang w:val="el" w:eastAsia="el"/>
        </w:rPr>
        <w:t>Α.1213/10-09-2021 απόφαση του Διοικητή της Ανεξάρτητης Αρχής Δημοσίων Εσόδων «Μεταβολή στοιχείων και διακοπή εργασιών επιχείρησης φυσικών προσώπων, νομικών προσώπων και νομικών οντοτήτων με τη χρήση ηλεκτρονικών υπηρεσιών» (Β΄4272),</w:t>
      </w:r>
    </w:p>
    <w:p>
      <w:pPr>
        <w:pStyle w:val="StructureList1"/>
        <w:spacing w:before="120" w:after="0"/>
        <w:rPr>
          <w:lang w:val="el" w:eastAsia="el"/>
        </w:rPr>
      </w:pPr>
      <w:r>
        <w:rPr>
          <w:b/>
          <w:bCs/>
          <w:lang w:val="el" w:eastAsia="el"/>
        </w:rPr>
        <w:t>δ)</w:t>
      </w:r>
      <w:r>
        <w:rPr>
          <w:b/>
          <w:bCs/>
          <w:lang w:val="en" w:eastAsia="en"/>
        </w:rPr>
        <w:tab/>
      </w:r>
      <w:r>
        <w:rPr>
          <w:b/>
          <w:bCs/>
          <w:lang w:val="el" w:eastAsia="el"/>
        </w:rPr>
        <w:t>Α.1054/21-04-2022 απόφαση του Διοικητή της Ανεξάρτητης Αρχής Δημοσίων Εσόδων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(B΄ 2154).</w:t>
      </w:r>
    </w:p>
    <w:p>
      <w:pPr>
        <w:spacing w:before="240" w:after="240"/>
        <w:rPr>
          <w:lang w:val="el" w:eastAsia="el"/>
        </w:rPr>
      </w:pPr>
      <w:r>
        <w:rPr>
          <w:b/>
          <w:bCs/>
          <w:lang w:val="el" w:eastAsia="el"/>
        </w:rPr>
        <w:t xml:space="preserve">3.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και τις αποφάσεις υπ’ αρ. 39/3/30-11-2017 (Υ.Ο.Δ.Δ. 689) του Συμβουλίου Διοίκησης της ΑΑΔΕ και υπό στοιχεία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4. </w:t>
      </w:r>
      <w:r>
        <w:rPr>
          <w:b/>
          <w:bCs/>
          <w:lang w:val="el" w:eastAsia="el"/>
        </w:rPr>
        <w:t>Την ανάγκη μείωσης της επισκεψιμότητας στις ΔΟΥ, στο πλαίσιο τόσο της λήψης μέτρων προστασίας της δημόσιας υγείας από τον κίνδυνο περαιτέρω διασποράς του κορωνοϊού COVID-19, όσο και της ποιοτικότερης και με περισσότερη διαφάνεια εξυπηρέτησης των φορολογουμένων από τις ΔΟΥ.</w:t>
      </w:r>
    </w:p>
    <w:p>
      <w:pPr>
        <w:spacing w:before="240" w:after="240"/>
        <w:rPr>
          <w:lang w:val="el" w:eastAsia="el"/>
        </w:rPr>
      </w:pPr>
      <w:r>
        <w:rPr>
          <w:b/>
          <w:bCs/>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r>
        <w:rPr>
          <w:b/>
          <w:bCs/>
          <w:lang w:val="el" w:eastAsia="el"/>
        </w:rPr>
        <w:t xml:space="preserve"> </w:t>
      </w:r>
    </w:p>
    <w:p>
      <w:pPr>
        <w:pStyle w:val="Heading6"/>
        <w:spacing w:before="240" w:after="240"/>
        <w:rPr>
          <w:lang w:val="el" w:eastAsia="el"/>
        </w:rPr>
      </w:pPr>
      <w:r>
        <w:rPr>
          <w:b/>
          <w:bCs/>
          <w:lang w:val="el" w:eastAsia="el"/>
        </w:rPr>
        <w:t>Τροποποιούμε την υπό στοιχεία ΠΟΛ 1006/31-12-2013 απόφαση του Γενικού Γραμματέα της Γενικής Γραμματείας Δημοσίων Εσόδων «Διαδικασία και δικαιολογητικά Απόδοσης Αριθμού Φορολογικού Μητρώου (Α.Φ.Μ.)/Μεταβολής Στοιχείων και Έναρξης/Μεταβολής και Διακοπής Επιχειρηματικής Δραστηριότητας» (Β΄19), ως ακολούθως: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πρώτο και το δεύτερο εδάφιο της παρ. 2 του άρθρου 3 αντικαθίστανται ως εξής:</w:t>
      </w:r>
    </w:p>
    <w:p>
      <w:pPr>
        <w:spacing w:before="240" w:after="240"/>
        <w:rPr>
          <w:lang w:val="el" w:eastAsia="el"/>
        </w:rPr>
      </w:pPr>
      <w:r>
        <w:rPr>
          <w:b/>
          <w:bCs/>
          <w:lang w:val="el" w:eastAsia="el"/>
        </w:rPr>
        <w:t>«Σε περίπτωση μεταβολής ενός ή περισσοτέρων στοιχείων της παραπάνω δήλωσης, υποβάλλεται η ίδια δήλωση, ως μεταβολή, με την αναγραφή μόνο των στοιχείων που έχουν μεταβληθεί καθώς και τα απαιτούμενα ανά περίπτωση δικαιολογητικά.</w:t>
      </w:r>
    </w:p>
    <w:p>
      <w:pPr>
        <w:spacing w:before="240" w:after="240"/>
        <w:rPr>
          <w:lang w:val="el" w:eastAsia="el"/>
        </w:rPr>
      </w:pPr>
      <w:r>
        <w:rPr>
          <w:b/>
          <w:bCs/>
          <w:lang w:val="el" w:eastAsia="el"/>
        </w:rPr>
        <w:t>Επισημαίνεται ότι σε περίπτωση θανάτου το έντυπο Δ210 υποβάλλεται προς την αρμόδια ΔΟΥ από συγγενή ή άλλο τρίτο πρόσωπο.».</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παρ. 1 του άρθρου 10 αντικαθίσταται ως εξής:</w:t>
      </w:r>
    </w:p>
    <w:p>
      <w:pPr>
        <w:spacing w:before="240" w:after="240"/>
        <w:rPr>
          <w:lang w:val="el" w:eastAsia="el"/>
        </w:rPr>
      </w:pPr>
      <w:r>
        <w:rPr>
          <w:b/>
          <w:bCs/>
          <w:lang w:val="el" w:eastAsia="el"/>
        </w:rPr>
        <w:t>«Από 01.11.2022 οι δηλώσεις της παρούσας υποβάλλονται αποκλειστικά μέσω της Εφαρμογής Ψηφιακής Υποδοχής και Διαχείρισης Αιτημάτων της ΑΑΔΕ «Τα Αιτήματά μου» για όσες διαδικασίες είναι ενταγμένες στην Εφαρμογή. Σημειώνεται πως από 17.10.2022 η υποβολή αιτήσεων ή δηλώσεων για διαδικασίες που είναι ενταγμένες στην ψηφιακή πύλη myAADE myaade.gov.gr), βάσει των υπό στοιχεία ΠΟΛ 1123/30-04-2014 (Β΄1220) και Α.1213/10-09-2021 (Β΄4272) αποφάσεων, γίνεται αποκλειστικά από τη συγκεκριμένη ψηφιακή πύλη.</w:t>
      </w:r>
    </w:p>
    <w:p>
      <w:pPr>
        <w:spacing w:before="240" w:after="240"/>
        <w:rPr>
          <w:lang w:val="el" w:eastAsia="el"/>
        </w:rPr>
      </w:pPr>
      <w:r>
        <w:rPr>
          <w:b/>
          <w:bCs/>
          <w:lang w:val="el" w:eastAsia="el"/>
        </w:rPr>
        <w:t>Σε περιπτώσεις που κατά την είσοδο στις ανωτέρω ψηφιακές υπηρεσίες με τη χρήση των κωδικών TAXISnet δεν επιτρέπεται η υποβολή αιτήματος λόγω προβλήματος στα στοιχεία Μητρώου, εμφανίζεται ενημερωτικό μήνυμα για την εξυπηρέτηση του φορολογουμένου με αυτοπρόσωπη παρουσία από την αρμόδια ΔΟΥ. Σε περιπτώσεις τεχνικής αδυναμίας υποβολής του αιτήματος μέσω των ανωτέρω ψηφιακών υπηρεσιών λόγω δυσλειτουργίας του πληροφοριακού συστήματος της ΑΑΔΕ ή σε περιπτώσεις διαδικασιών που δεν είναι ενταγμένες στις ανωτέρω ψηφιακές υπηρεσίες, τα αιτήματα αποστέλλονται ταχυδρομικά με συστημένη επιστολή ή με υπηρεσία ταχυμεταφοράς ή υποβάλλονται στην αρμόδια Υπηρεσία με αυτοπρόσωπη παρουσία.</w:t>
      </w:r>
    </w:p>
    <w:p>
      <w:pPr>
        <w:spacing w:before="240" w:after="240"/>
        <w:rPr>
          <w:lang w:val="el" w:eastAsia="el"/>
        </w:rPr>
      </w:pPr>
      <w:r>
        <w:rPr>
          <w:b/>
          <w:bCs/>
          <w:lang w:val="el" w:eastAsia="el"/>
        </w:rPr>
        <w:t>Ειδικά για τη διαδικασία της απόδοσης ΑΦΜ σε φυσικά πρόσωπα, κατοίκους ημεδαπής ή αλλοδαπής, η υποβολή της σχετικής δήλωσης και των αντίστοιχων δικαιολογητικών πραγματοποιείται σε οποιαδήποτε ΔΟY. Αν η ΔΟΥ στην οποία υποβάλλεται το αίτημα διαφέρει από τη ΔΟΥ της χωρικής αρμοδιότητας στην οποία υπάγεται το φυσικό πρόσωπο βάσει της διεύθυνσης κατοικίας του, τότε η πρώτη αποδίδει ΑΦΜ για λογαριασμό της αρμόδιας ΔΟΥ του φορολογούμενου. Εξαιρούνται τα φυσικά πρόσωπα αλλοδαποί υπήκοοι τρίτων χωρών, κάτοχοι αδειών που εκδίδονται και ανανεώνονται από τις Υπηρεσίες Ασύλου και την Ελληνική Αστυνομία, αρμοδιότητας ΔΟΥ Α’ Αθηνών και ΙΓ’ Αθηνών καθώς και ΔΟΥ Δ’ Θεσσαλονίκης και Ε’ Θεσσαλονίκης, τα οποία υποβάλλουν τη σχετική δήλωση και τα αντίστοιχα δικαιολογητικά στις ΔΟΥ που ορίζονται, σύμφωνα με την απόφαση Διοικητή ΑΑΔΕ Δ.ΟΡΓ.Α 1065199 ΕΞ 2022/20.07.2022 (Β΄3886).</w:t>
      </w:r>
    </w:p>
    <w:p>
      <w:pPr>
        <w:spacing w:before="240" w:after="240"/>
        <w:rPr>
          <w:lang w:val="el" w:eastAsia="el"/>
        </w:rPr>
      </w:pPr>
      <w:r>
        <w:rPr>
          <w:b/>
          <w:bCs/>
          <w:lang w:val="el" w:eastAsia="el"/>
        </w:rPr>
        <w:t>Τα φυσικά πρόσωπα, τόσο για τη διαδικασία της απόδοσης ΑΦΜ, όσο και για τη διαδικασία της μεταβολής των ατομικών τους στοιχείων, δύνανται να κάνουν χρήση της Υπηρεσίας myAADElive πραγματοποιώντας βιντεοκλήση.</w:t>
      </w:r>
    </w:p>
    <w:p>
      <w:pPr>
        <w:spacing w:before="240" w:after="240"/>
        <w:rPr>
          <w:lang w:val="el" w:eastAsia="el"/>
        </w:rPr>
      </w:pPr>
      <w:r>
        <w:rPr>
          <w:b/>
          <w:bCs/>
          <w:lang w:val="el" w:eastAsia="el"/>
        </w:rPr>
        <w:t>Ο φορολογούμενος φυσικό πρόσωπο που επιλέγει την υπηρεσία myAADEIive για να λάβει Αριθμό Φορολογικού Μητρώου ή να μεταβάλει τα στοιχεία του, επικοινωνεί με τη Φορολογική Διοίκηση, κατόπιν ραντεβού, μέσω βιντεοκλήσης. Η συνομιλία βιντεοσκοπείται και το αρχείο παραμένει για δέκα (10) έτη στη διάθεση της Φορολογικής Διοίκησης, για λόγους απόδειξης ταυτοπροσωπίας σε περίπτωση ελέγχου.</w:t>
      </w:r>
    </w:p>
    <w:p>
      <w:pPr>
        <w:spacing w:before="240" w:after="240"/>
        <w:rPr>
          <w:lang w:val="el" w:eastAsia="el"/>
        </w:rPr>
      </w:pPr>
      <w:r>
        <w:rPr>
          <w:b/>
          <w:bCs/>
          <w:lang w:val="el" w:eastAsia="el"/>
        </w:rPr>
        <w:t>Στην περίπτωση που οι δηλώσεις της παρούσας υποβάλλονται από τρίτο πρόσωπο, υποβάλλεται και εξουσιοδότηση, με βεβαιωμένο το γνήσιο της υπογραφής του δηλούντος, είτε κατά τα οριζόμενα με την</w:t>
      </w:r>
      <w:r>
        <w:rPr>
          <w:rStyle w:val="link"/>
          <w:b/>
          <w:bCs/>
          <w:lang w:val="el" w:eastAsia="el"/>
        </w:rPr>
        <w:t xml:space="preserve"> παρ. </w:t>
      </w:r>
      <w:r>
        <w:rPr>
          <w:rStyle w:val="link"/>
          <w:b/>
          <w:bCs/>
          <w:lang w:val="el" w:eastAsia="el"/>
        </w:rPr>
        <w:t xml:space="preserve">1 </w:t>
      </w:r>
      <w:r>
        <w:rPr>
          <w:b/>
          <w:bCs/>
          <w:lang w:val="el" w:eastAsia="el"/>
        </w:rPr>
        <w:t>του</w:t>
      </w:r>
      <w:r>
        <w:rPr>
          <w:rStyle w:val="link"/>
          <w:b/>
          <w:bCs/>
          <w:lang w:val="el" w:eastAsia="el"/>
        </w:rPr>
        <w:t xml:space="preserve"> άρθρου </w:t>
      </w:r>
      <w:r>
        <w:rPr>
          <w:rStyle w:val="link"/>
          <w:b/>
          <w:bCs/>
          <w:lang w:val="el" w:eastAsia="el"/>
        </w:rPr>
        <w:t xml:space="preserve">11 </w:t>
      </w:r>
      <w:r>
        <w:rPr>
          <w:b/>
          <w:bCs/>
          <w:lang w:val="el" w:eastAsia="el"/>
        </w:rPr>
        <w:t>του ν.</w:t>
      </w:r>
      <w:r>
        <w:rPr>
          <w:rStyle w:val="link"/>
          <w:b/>
          <w:bCs/>
          <w:lang w:val="el" w:eastAsia="el"/>
        </w:rPr>
        <w:t xml:space="preserve">2690/1999 </w:t>
      </w:r>
      <w:r>
        <w:rPr>
          <w:b/>
          <w:bCs/>
          <w:lang w:val="el" w:eastAsia="el"/>
        </w:rPr>
        <w:t>(Α' 45), όπως ισχύει ή μέσω της Ενιαίας Ψηφιακής Πύλης της Δημόσιας Διοίκησης (gov.gr) και επιδεικνύεται το στοιχείο ταυτότητας του εξουσιοδοτημένου προσώπου. Ειδικά για τις περιπτώσεις συναλλαγής με πληρεξούσιο δικηγόρο για λογαριασμό εντολέα του, δεν απαιτείται η ανωτέρω εξουσιοδότηση, αφού ως εξουσιοδότηση προς το πρόσωπο δικηγόρου ισχύει και αρκεί η νόμιμη προφορική εντολή που του δίδεται σύμφωνα με τις σχετικές διατάξεις του Κώδικα Δικηγόρων (ν.4194/2013 - ΦΕΚ Α’ 208). Σε αυτές τις περιπτώσεις ωστόσο θα επιδεικνύεται και θα υποβάλλεται αντίγραφο της δικηγορικής ταυτότητας.</w:t>
      </w:r>
    </w:p>
    <w:p>
      <w:pPr>
        <w:spacing w:before="240" w:after="240"/>
        <w:rPr>
          <w:lang w:val="el" w:eastAsia="el"/>
        </w:rPr>
      </w:pPr>
      <w:r>
        <w:rPr>
          <w:b/>
          <w:bCs/>
          <w:lang w:val="el" w:eastAsia="el"/>
        </w:rPr>
        <w:t>Σε κάθε περίπτωση συναλλαγής με το φορολογούμενο επαληθεύεται η εγκυρότητα του προσκομιζόμενου δελτίου αστυνομικής ταυτότητας ή της άδειας διαμονής από τις αντίστοιχες Βάσεις Δεδομένων που τηρούνται.».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2Ισχύς – Μεταβατικές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απόφαση αυτή ισχύει από τη δημοσίευσή της στην Εφημερίδα της Κυβερνήσεως.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την έναρξη ισχύος της παρούσας κάθε προηγούμενη αντίθετη ως προς τα ανωτέρω οδηγία, εγκύκλιος ή διάταξη παύει να ισχύει.</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Δημόσιες Οικονομικές Υπηρεσίες (ΔΟΥ)</w:t>
      </w:r>
    </w:p>
    <w:p>
      <w:pPr>
        <w:spacing w:before="240" w:after="240"/>
        <w:rPr>
          <w:lang w:val="el" w:eastAsia="el"/>
        </w:rPr>
      </w:pPr>
      <w:r>
        <w:rPr>
          <w:b/>
          <w:bCs/>
          <w:lang w:val="el" w:eastAsia="el"/>
        </w:rPr>
        <w:t xml:space="preserve">2. </w:t>
      </w:r>
      <w:r>
        <w:rPr>
          <w:b/>
          <w:bCs/>
          <w:lang w:val="el" w:eastAsia="el"/>
        </w:rPr>
        <w:t>ΓΕΦ (μέσω των ΔΟΥ)</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4. </w:t>
      </w:r>
      <w:r>
        <w:rPr>
          <w:b/>
          <w:bCs/>
          <w:lang w:val="el" w:eastAsia="el"/>
        </w:rPr>
        <w:t>Διεύθυνση Ελέγχων/Τμήμα ΙΓ΄-Υπηρεσία myAADElive</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Γενική Γραμματεία Φορολογικής Πολιτικής και Δημόσιας Περιουσίας</w:t>
      </w:r>
    </w:p>
    <w:p>
      <w:pPr>
        <w:spacing w:before="240" w:after="240"/>
        <w:rPr>
          <w:lang w:val="el" w:eastAsia="el"/>
        </w:rPr>
      </w:pPr>
      <w:r>
        <w:rPr>
          <w:b/>
          <w:bCs/>
          <w:lang w:val="el" w:eastAsia="el"/>
        </w:rPr>
        <w:t xml:space="preserve">4. </w:t>
      </w:r>
      <w:r>
        <w:rPr>
          <w:b/>
          <w:bCs/>
          <w:lang w:val="el" w:eastAsia="el"/>
        </w:rPr>
        <w:t>Αποδέκτες Πίνακα Α΄ (εκτός των αριθμ. 2 και 3 αυτού)</w:t>
      </w:r>
    </w:p>
    <w:p>
      <w:pPr>
        <w:spacing w:before="240" w:after="240"/>
        <w:rPr>
          <w:lang w:val="el" w:eastAsia="el"/>
        </w:rPr>
      </w:pPr>
      <w:r>
        <w:rPr>
          <w:b/>
          <w:bCs/>
          <w:lang w:val="el" w:eastAsia="el"/>
        </w:rPr>
        <w:t>» » Β΄</w:t>
      </w:r>
    </w:p>
    <w:p>
      <w:pPr>
        <w:spacing w:before="240" w:after="240"/>
        <w:rPr>
          <w:lang w:val="el" w:eastAsia="el"/>
        </w:rPr>
      </w:pPr>
      <w:r>
        <w:rPr>
          <w:b/>
          <w:bCs/>
          <w:lang w:val="el" w:eastAsia="el"/>
        </w:rPr>
        <w:t>» » Γ΄ (εκτός του αριθμ. 7 αυτού)</w:t>
      </w:r>
    </w:p>
    <w:p>
      <w:pPr>
        <w:spacing w:before="240" w:after="240"/>
        <w:rPr>
          <w:lang w:val="el" w:eastAsia="el"/>
        </w:rPr>
      </w:pPr>
      <w:r>
        <w:rPr>
          <w:b/>
          <w:bCs/>
          <w:lang w:val="el" w:eastAsia="el"/>
        </w:rPr>
        <w:t>» » Z΄ (εκτός των αριθμ.2, 3, 4, 5 και 6 αυτού)</w:t>
      </w:r>
    </w:p>
    <w:p>
      <w:pPr>
        <w:spacing w:before="240" w:after="240"/>
        <w:rPr>
          <w:lang w:val="el" w:eastAsia="el"/>
        </w:rPr>
      </w:pPr>
      <w:r>
        <w:rPr>
          <w:b/>
          <w:bCs/>
          <w:lang w:val="el" w:eastAsia="el"/>
        </w:rPr>
        <w:t>» » Η΄ (εκτός των αριθμ. 4, 10 και 11 αυτού)</w:t>
      </w:r>
    </w:p>
    <w:p>
      <w:pPr>
        <w:spacing w:before="240" w:after="240"/>
        <w:rPr>
          <w:lang w:val="el" w:eastAsia="el"/>
        </w:rPr>
      </w:pPr>
      <w:r>
        <w:rPr>
          <w:b/>
          <w:bCs/>
          <w:lang w:val="el" w:eastAsia="el"/>
        </w:rPr>
        <w:t xml:space="preserve">9. </w:t>
      </w:r>
      <w:r>
        <w:rPr>
          <w:b/>
          <w:bCs/>
          <w:lang w:val="el" w:eastAsia="el"/>
        </w:rPr>
        <w:t>Υπουργείο Ανάπτυξης και Επενδύσεων</w:t>
      </w:r>
    </w:p>
    <w:p>
      <w:pPr>
        <w:spacing w:before="240" w:after="240"/>
        <w:rPr>
          <w:lang w:val="el" w:eastAsia="el"/>
        </w:rPr>
      </w:pPr>
      <w:r>
        <w:rPr>
          <w:b/>
          <w:bCs/>
          <w:lang w:val="el" w:eastAsia="el"/>
        </w:rPr>
        <w:t>Γενική Γραμματεία Εμπορίου &amp; Προστασίας Καταναλωτή Γενική Διεύθυνση Αγοράς</w:t>
      </w:r>
    </w:p>
    <w:p>
      <w:pPr>
        <w:spacing w:before="240" w:after="240"/>
        <w:rPr>
          <w:lang w:val="el" w:eastAsia="el"/>
        </w:rPr>
      </w:pPr>
      <w:r>
        <w:rPr>
          <w:b/>
          <w:bCs/>
          <w:lang w:val="el" w:eastAsia="el"/>
        </w:rPr>
        <w:t>Δ/νση Εταιρειών Πλατεία Κάνιγγος</w:t>
      </w:r>
    </w:p>
    <w:p>
      <w:pPr>
        <w:spacing w:before="240" w:after="240"/>
        <w:rPr>
          <w:lang w:val="el" w:eastAsia="el"/>
        </w:rPr>
      </w:pPr>
      <w:r>
        <w:rPr>
          <w:b/>
          <w:bCs/>
          <w:lang w:val="el" w:eastAsia="el"/>
        </w:rPr>
        <w:t>Τ.Κ. 10181,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Προϊσταμένου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Διεύθυνση Ελέγχων/Τμήμα ΙΑ΄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11@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