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I.ΓΕΝΙΚΗ ΔΙΕΥΘΥΝΣΗ ΦΟΡΟΛΟΓΙΚΗΣ ΔΙΟΙΚΗΣΗΣ</w:t>
      </w:r>
    </w:p>
    <w:p>
      <w:pPr>
        <w:spacing w:before="240" w:after="240"/>
        <w:rPr>
          <w:lang w:val="el" w:eastAsia="el"/>
        </w:rPr>
      </w:pPr>
      <w:r>
        <w:rPr>
          <w:lang w:val="el" w:eastAsia="el"/>
        </w:rPr>
        <w:t xml:space="preserve">1. </w:t>
      </w:r>
      <w:r>
        <w:rPr>
          <w:b/>
          <w:bCs/>
          <w:lang w:val="el" w:eastAsia="el"/>
        </w:rPr>
        <w:t>ΔΙΕΥΘΥΝΣΗ ΕΦΑΡΜΟΓΗΣ ΕΜΜΕΣΗΣ ΦΟΡΟΛΟΓΙΑΣ</w:t>
      </w:r>
    </w:p>
    <w:p>
      <w:pPr>
        <w:spacing w:before="240" w:after="240"/>
        <w:rPr>
          <w:lang w:val="el" w:eastAsia="el"/>
        </w:rPr>
      </w:pPr>
      <w:r>
        <w:rPr>
          <w:lang w:val="el" w:eastAsia="el"/>
        </w:rPr>
        <w:t xml:space="preserve">2. </w:t>
      </w:r>
      <w:r>
        <w:rPr>
          <w:b/>
          <w:bCs/>
          <w:lang w:val="el" w:eastAsia="el"/>
        </w:rPr>
        <w:t>ΔΙΕΥΘΥΝΗΣ ΕΦΑΡΜΟΓΗΣ ΑΜΕΣΗΣ ΦΟΡΟΛΟΓΙΑΣ</w:t>
      </w:r>
    </w:p>
    <w:p>
      <w:pPr>
        <w:spacing w:before="240" w:after="240"/>
        <w:rPr>
          <w:lang w:val="el" w:eastAsia="el"/>
        </w:rPr>
      </w:pPr>
      <w:r>
        <w:rPr>
          <w:lang w:val="el" w:eastAsia="el"/>
        </w:rPr>
        <w:t xml:space="preserve">3. </w:t>
      </w:r>
      <w:r>
        <w:rPr>
          <w:b/>
          <w:bCs/>
          <w:lang w:val="el" w:eastAsia="el"/>
        </w:rPr>
        <w:t>ΔΙΕΥΘΥΝΣΗ ΕΦΑΡΜΟΓΗΣ ΦΟΡΟΛΟΓΙΑΣ ΚΕΦΑΛΑΙΟΥ ΚΑΙ ΠΕΡΙΟΥΣΙΟΛΟΓΙΟΥ – ΤΜΗΜΑ Β΄</w:t>
      </w:r>
    </w:p>
    <w:p>
      <w:pPr>
        <w:spacing w:before="240" w:after="240"/>
        <w:rPr>
          <w:lang w:val="el" w:eastAsia="el"/>
        </w:rPr>
      </w:pPr>
      <w:r>
        <w:rPr>
          <w:lang w:val="el" w:eastAsia="el"/>
        </w:rPr>
        <w:t xml:space="preserve">II. </w:t>
      </w:r>
      <w:r>
        <w:rPr>
          <w:b/>
          <w:bCs/>
          <w:lang w:val="el" w:eastAsia="el"/>
        </w:rPr>
        <w:t>ΓΕΝΙΚΗ ΔΙΕΥΘΥΝΣΗ ΗΛΕΚΤΡΟΝΙΚΗΣ ΔΙΑΚΥΒΕΡΝΗΣΗΣ (Γ.Δ.ΗΛΕ.Δ)</w:t>
      </w:r>
    </w:p>
    <w:p>
      <w:pPr>
        <w:spacing w:before="240" w:after="240"/>
        <w:rPr>
          <w:lang w:val="el" w:eastAsia="el"/>
        </w:rPr>
      </w:pPr>
      <w:r>
        <w:rPr>
          <w:lang w:val="el" w:eastAsia="el"/>
        </w:rPr>
        <w:t xml:space="preserve">1 </w:t>
      </w:r>
      <w:r>
        <w:rPr>
          <w:b/>
          <w:bCs/>
          <w:lang w:val="el" w:eastAsia="el"/>
        </w:rPr>
        <w:t>. ΔΙΕΥΘΥΝΣΗ ΕΠΙΧΕΙΡΗΣΙΑΚΩΝ ΔΙΑΔΙΚΑΣΙΩΝ (ΔΙ.ΕΠΙ.ΔΙ.)</w:t>
      </w:r>
    </w:p>
    <w:p>
      <w:pPr>
        <w:spacing w:before="240" w:after="240"/>
        <w:rPr>
          <w:lang w:val="el" w:eastAsia="el"/>
        </w:rPr>
      </w:pPr>
      <w:r>
        <w:rPr>
          <w:lang w:val="el" w:eastAsia="el"/>
        </w:rPr>
        <w:t xml:space="preserve">2 </w:t>
      </w:r>
      <w:r>
        <w:rPr>
          <w:b/>
          <w:bCs/>
          <w:lang w:val="el" w:eastAsia="el"/>
        </w:rPr>
        <w:t>. ΔΙΕΥΘΥΝΣΗ ΑΝΑΠΤΥΞΗΣ ΦΟΡΟΛΟΓΙΚΩΝ ΕΦΑΡΜΟΓΩΝ (Δ.Α.Φ.Ε.)</w:t>
      </w:r>
    </w:p>
    <w:p>
      <w:pPr>
        <w:spacing w:before="240" w:after="240"/>
        <w:rPr>
          <w:lang w:val="el" w:eastAsia="el"/>
        </w:rPr>
      </w:pPr>
      <w:r>
        <w:rPr>
          <w:lang w:val="el" w:eastAsia="el"/>
        </w:rPr>
        <w:t xml:space="preserve">3 </w:t>
      </w:r>
      <w:r>
        <w:rPr>
          <w:b/>
          <w:bCs/>
          <w:lang w:val="el" w:eastAsia="el"/>
        </w:rPr>
        <w:t>.ΔΙΕΥΘΥΝΣΗ ΥΠΗΡΕΣΙΩΝ ΔΕΔΟΜΕΝΩΝ (Δ.ΥΠΗ.ΔΕΔ.)</w:t>
      </w:r>
    </w:p>
    <w:p>
      <w:pPr>
        <w:spacing w:before="240" w:after="240"/>
        <w:rPr>
          <w:lang w:val="el" w:eastAsia="el"/>
        </w:rPr>
      </w:pPr>
      <w:r>
        <w:rPr>
          <w:lang w:val="el" w:eastAsia="el"/>
        </w:rPr>
        <w:t xml:space="preserve">4 </w:t>
      </w:r>
      <w:r>
        <w:rPr>
          <w:b/>
          <w:bCs/>
          <w:lang w:val="el" w:eastAsia="el"/>
        </w:rPr>
        <w:t>.ΔΙΕΥΘΥΝΣΗ ΣΤΡΑΤΗΓΙΚΗΣ ΤΕΧΝΟΛΟΓΙΩΝ ΠΛΗΡΟΦΟΡΙΚΗΣ (ΔΙ.Σ.ΤΕ.ΠΛ.)</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Παράταση των προθεσμιών εκπλήρωσης των δηλωτικών φορολογικών υποχρεώσεων, απόδοσης και εξόφλησης παρακρατούμενων φόρων, ΦΠΑ , φόρων μεταβίβασης κεφαλαίου, λοιπών εμμέσων φόρων, εισφορών και τελών των φυσικών προσώπων και των νομικών προσώπων και οντοτήτων που έχουν κύρια κατοικία ή κύρια εγκατάσταση (έδρα) στον Δήμο Σητείας της ΠΕ Λασιθίου, λόγω της θεομηνίας της 15</w:t>
      </w:r>
      <w:r>
        <w:rPr>
          <w:b/>
          <w:bCs/>
          <w:sz w:val="30"/>
          <w:szCs w:val="30"/>
          <w:vertAlign w:val="superscript"/>
          <w:lang w:val="el" w:eastAsia="el"/>
        </w:rPr>
        <w:t>ης</w:t>
      </w:r>
      <w:r>
        <w:rPr>
          <w:b/>
          <w:bCs/>
          <w:lang w:val="el" w:eastAsia="el"/>
        </w:rPr>
        <w:t xml:space="preserve"> Οκτωβρίου 2022.</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 5 του άρθρου 22 του ν. 2020/1992 (Α΄34)</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43Α, 60, 64 και 69 του ν.4172/2013 (Α΄167), γ) του ν. 4174/2013 (A΄ 170),</w:t>
      </w:r>
    </w:p>
    <w:p>
      <w:pPr>
        <w:pStyle w:val="StructureList1"/>
        <w:spacing w:before="120" w:after="0"/>
        <w:rPr>
          <w:lang w:val="el" w:eastAsia="el"/>
        </w:rPr>
      </w:pPr>
      <w:r>
        <w:rPr>
          <w:b/>
          <w:bCs/>
          <w:lang w:val="el" w:eastAsia="el"/>
        </w:rPr>
        <w:t>δ)</w:t>
      </w:r>
      <w:r>
        <w:rPr>
          <w:b/>
          <w:bCs/>
          <w:lang w:val="en" w:eastAsia="en"/>
        </w:rPr>
        <w:tab/>
      </w:r>
      <w:r>
        <w:rPr>
          <w:b/>
          <w:bCs/>
          <w:lang w:val="el" w:eastAsia="el"/>
        </w:rPr>
        <w:t>του Κεφαλαίου Α’ του Μέρους Πρώτου του ν. 4389/2016 (Α΄94) και ειδικότερα των άρθρων 1, 2, 13, 14, 17 και 41,</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περίπτωσης β΄ της παρ. 12 του άρθρου 38 του Κώδικα ΦΠΑ (ν. 2859/2000) – (Α΄ 248), με τις οποίες προβλέπεται ότι με απόφαση του Γενικού Γραμματέα Δημοσίων Εσόδων δύναται να παρατείνε ται ο χρόνος υποβολής της δήλωσης ΦΠΑ και καταβολής του φόρου σε περιπτώσεις ανωτέρας βίας που επηρεάζουν την Φορολογική Διοίκηση ή σε περιπτώσεις εξαιρετικών και δυσμενών συμβάντων που επηρεάζουν τους φορολογούμενους, σε συνδυασμό με τις διατάξεις της περ. α΄ της παρ. 3 του άρθρου 41 του ν. 4389/2016.</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περ. β΄ της παρ. 4 και των παρ. 5,5α και 5β του άρθρου 36 , του άρθρου 38 και του άρθρου 41 του Κώδικα ΦΠΑ (ν.2859/2000), (Α΄ 248).</w:t>
      </w:r>
    </w:p>
    <w:p>
      <w:pPr>
        <w:pStyle w:val="StructureList1"/>
        <w:spacing w:before="120" w:after="0"/>
        <w:rPr>
          <w:lang w:val="el" w:eastAsia="el"/>
        </w:rPr>
      </w:pPr>
      <w:r>
        <w:rPr>
          <w:b/>
          <w:bCs/>
          <w:lang w:val="el" w:eastAsia="el"/>
        </w:rPr>
        <w:t>ζ)</w:t>
      </w:r>
      <w:r>
        <w:rPr>
          <w:b/>
          <w:bCs/>
          <w:lang w:val="en" w:eastAsia="en"/>
        </w:rPr>
        <w:tab/>
      </w:r>
      <w:r>
        <w:rPr>
          <w:b/>
          <w:bCs/>
          <w:lang w:val="el" w:eastAsia="el"/>
        </w:rPr>
        <w:t>του πδ 28 /28</w:t>
      </w:r>
      <w:r>
        <w:rPr>
          <w:b/>
          <w:bCs/>
          <w:sz w:val="30"/>
          <w:szCs w:val="30"/>
          <w:vertAlign w:val="superscript"/>
          <w:lang w:val="el" w:eastAsia="el"/>
        </w:rPr>
        <w:t>ης</w:t>
      </w:r>
      <w:r>
        <w:rPr>
          <w:b/>
          <w:bCs/>
          <w:lang w:val="el" w:eastAsia="el"/>
        </w:rPr>
        <w:t xml:space="preserve"> Ιουλίου 1931 «Περί κώδικος των νόμων περί τελών χαρτοσήμου» (Α΄ 239), η) του άρθρου 4 του ν.4736/2020 «Ενσωμάτωση της Οδηγίας (ΕΕ) 2019/904 σχετικά με τημείωση των επιπτώσεων ορισμένων πλαστικών προϊόντων στο περιβάλλον και λοιπές διατάξεις.» (Α΄200).</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17 του ν. 3833/2010 «Προστασία της εθνικής οικονομίας – Επείγοντα μέτρα για την αντιμετώπιση της δημοσιονομικής κρίσης» (Α΄40),</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53 του ν.4389/2016 « Επείγουσες διατάξεις για την εφαρμογή της συμφωνίας δημοσιονομικών στόχων και διαρθρωτικών μεταρρυθμίσεων και άλλες διατάξεις» (Α΄94), ια) των άρθρων 79, 80 του ν. 4819/2021 «Ολοκληρωμένο πλαίσιο για τη διαχείριση αποβλήτων - Ενσωμάτωση των Οδηγιών 2018/ 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 - πολεοδομικές, ενεργειακές και συναφείς επείγουσες ρυθμίσεις.» (Α' 129), ιβ) των άρ. 17-31 του ν. 1676/1986 «Καθορισμός των συντελεστών του φόρου προστιθέμενης αξίας και ρύθμιση άλλων θεμάτων» (Α΄ 204)</w:t>
      </w:r>
    </w:p>
    <w:p>
      <w:pPr>
        <w:pStyle w:val="StructureList1"/>
        <w:spacing w:before="120" w:after="0"/>
        <w:rPr>
          <w:lang w:val="el" w:eastAsia="el"/>
        </w:rPr>
      </w:pPr>
      <w:r>
        <w:rPr>
          <w:b/>
          <w:bCs/>
          <w:lang w:val="el" w:eastAsia="el"/>
        </w:rPr>
        <w:t>ιγ)</w:t>
      </w:r>
      <w:r>
        <w:rPr>
          <w:b/>
          <w:bCs/>
          <w:lang w:val="en" w:eastAsia="en"/>
        </w:rPr>
        <w:tab/>
      </w:r>
      <w:r>
        <w:rPr>
          <w:b/>
          <w:bCs/>
          <w:lang w:val="el" w:eastAsia="el"/>
        </w:rPr>
        <w:t>του ν.4978/2022 «Κύρωση Κώδικα Είσπραξης Δημοσίων Εσόδων.»(Α΄ 190) ιδ) των άρθρων 81 έως και 86 του ν. 4270/2014 «Αρχές δημοσιονομικής διαχείρισης και εποπτείας (ενσωμάτωση της οδηγίας 2011/85/ΕΕ) – Δημόσιο Λογιστικό», (Α΄143).</w:t>
      </w:r>
    </w:p>
    <w:p>
      <w:pPr>
        <w:pStyle w:val="StructureList1"/>
        <w:spacing w:before="120" w:after="0"/>
        <w:rPr>
          <w:lang w:val="el" w:eastAsia="el"/>
        </w:rPr>
      </w:pPr>
      <w:r>
        <w:rPr>
          <w:b/>
          <w:bCs/>
          <w:lang w:val="el" w:eastAsia="el"/>
        </w:rPr>
        <w:t>ιε)</w:t>
      </w:r>
      <w:r>
        <w:rPr>
          <w:b/>
          <w:bCs/>
          <w:lang w:val="en" w:eastAsia="en"/>
        </w:rPr>
        <w:tab/>
      </w:r>
      <w:r>
        <w:rPr>
          <w:b/>
          <w:bCs/>
          <w:lang w:val="el" w:eastAsia="el"/>
        </w:rPr>
        <w:t>του Κώδικα Διατάξεων Φορολογίας Κληρονομιών, Δωρεών, Γονικών παροχών και Κερδών από Τυχερά Παίγνια, ο οποίος κυρώθηκε με το πρώτο άρθρο του ν. 2961/2001 (Α’ 266).</w:t>
      </w:r>
    </w:p>
    <w:p>
      <w:pPr>
        <w:pStyle w:val="StructureList1"/>
        <w:spacing w:before="120" w:after="0"/>
        <w:rPr>
          <w:lang w:val="el" w:eastAsia="el"/>
        </w:rPr>
      </w:pPr>
      <w:r>
        <w:rPr>
          <w:b/>
          <w:bCs/>
          <w:lang w:val="el" w:eastAsia="el"/>
        </w:rPr>
        <w:t>ιε)</w:t>
      </w:r>
      <w:r>
        <w:rPr>
          <w:b/>
          <w:bCs/>
          <w:lang w:val="en" w:eastAsia="en"/>
        </w:rPr>
        <w:tab/>
      </w:r>
      <w:r>
        <w:rPr>
          <w:b/>
          <w:bCs/>
          <w:lang w:val="el" w:eastAsia="el"/>
        </w:rPr>
        <w:t>του α.ν. 1521/1950 (Α’ 245) «Περί φόρου μεταβιβάσεως ακινήτων», ο οποίος κυρώθηκε με το πρώτο άρθρο του ν. 1587/1950 (Α’ 294).</w:t>
      </w:r>
    </w:p>
    <w:p>
      <w:pPr>
        <w:spacing w:before="240" w:after="240"/>
        <w:rPr>
          <w:lang w:val="el" w:eastAsia="el"/>
        </w:rPr>
      </w:pPr>
      <w:r>
        <w:rPr>
          <w:b/>
          <w:bCs/>
          <w:lang w:val="el" w:eastAsia="el"/>
        </w:rPr>
        <w:t>2.Την υπό στοιχεία ΠΟΛ 1027/2014 (Β΄211) απόφαση ΓΓΔΕ «Παρακράτηση φόρου στα εισοδήματα εργοληπτών κατασκευής κάθε είδους τεχνικών έργων και ενοικιαστών δημοσίων, δημοτικών και κοινοτικών ή λιμενικών προσόδων σύμφωνα με τις διατάξεις της περίπτωσης δ' παραγράφου 1 του άρθρου 64 του ν. 4172/2013 καθώς και χρόνος και τρόπος απόδοσης του».</w:t>
      </w:r>
    </w:p>
    <w:p>
      <w:pPr>
        <w:spacing w:before="240" w:after="240"/>
        <w:rPr>
          <w:lang w:val="el" w:eastAsia="el"/>
        </w:rPr>
      </w:pPr>
      <w:r>
        <w:rPr>
          <w:b/>
          <w:bCs/>
          <w:lang w:val="el" w:eastAsia="el"/>
        </w:rPr>
        <w:t>3.Την υπό στοιχεία ΠΟΛ 1028/2014 (Β΄245) απόφαση ΓΓΔΕ «Παρακράτηση φόρου από τους φορείς γενικής κυβέρνησης, κατά την προμήθεια κάθε είδους αγαθών ή παροχής υπηρεσιών, σύμφωνα με τις διατάξεις της παραγράφου 2 του άρθρου 64 του ν.4172/2013 καθώς και χρόνος και τρόπος απόδοσης του.»</w:t>
      </w:r>
    </w:p>
    <w:p>
      <w:pPr>
        <w:spacing w:before="240" w:after="240"/>
        <w:rPr>
          <w:lang w:val="el" w:eastAsia="el"/>
        </w:rPr>
      </w:pPr>
      <w:r>
        <w:rPr>
          <w:b/>
          <w:bCs/>
          <w:lang w:val="el" w:eastAsia="el"/>
        </w:rPr>
        <w:t xml:space="preserve">4 </w:t>
      </w:r>
      <w:r>
        <w:rPr>
          <w:b/>
          <w:bCs/>
          <w:lang w:val="el" w:eastAsia="el"/>
        </w:rPr>
        <w:t>. Την υπό στοιχεία Α.1099/2019 (Β΄949) απόφαση του Διοικητή της ΑΑΔΕ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 4172/2013 που παρακρατούνται στο εισόδημα από μισθωτή εργασία και συντάξεις».</w:t>
      </w:r>
    </w:p>
    <w:p>
      <w:pPr>
        <w:spacing w:before="240" w:after="240"/>
        <w:rPr>
          <w:lang w:val="el" w:eastAsia="el"/>
        </w:rPr>
      </w:pPr>
      <w:r>
        <w:rPr>
          <w:b/>
          <w:bCs/>
          <w:lang w:val="el" w:eastAsia="el"/>
        </w:rPr>
        <w:t xml:space="preserve">5 </w:t>
      </w:r>
      <w:r>
        <w:rPr>
          <w:b/>
          <w:bCs/>
          <w:lang w:val="el" w:eastAsia="el"/>
        </w:rPr>
        <w:t>.Την υπό στοιχεία Α.1100/2019 (Β΄951) απόφαση του Διοικητή της ΑΑΔΕ «Καθορισμός του ηλεκτρονικού τρόπου υποβολής, καθώς και του τύπου και περιεχομένου της δήλωσης απόδοσης του παρακρα- τούμενου φόρου στα εισοδήματα από μερίσματα, τόκους και δικαιώματα με βάση τις διατάξεις του άρθρου 64 του ν. 4172/2013».</w:t>
      </w:r>
    </w:p>
    <w:p>
      <w:pPr>
        <w:spacing w:before="240" w:after="240"/>
        <w:rPr>
          <w:lang w:val="el" w:eastAsia="el"/>
        </w:rPr>
      </w:pPr>
      <w:r>
        <w:rPr>
          <w:b/>
          <w:bCs/>
          <w:lang w:val="el" w:eastAsia="el"/>
        </w:rPr>
        <w:t>6.Την υπό στοιχεία Α.1101/2019 (Β΄948) «Καθορισμός του ηλεκτρονικού τρόπου υποβολής, καθώς και του τύπου και περιεχομένου της δήλωσης απόδοσης του παρακρατούμενου φόρου, σύμφωνα με τις διατάξεις, της περίπτωσης δ' της παραγράφου 1 του άρθρου 64 και των περιπτώσεων α' και γ' της παραγράφου 5 του άρθρου 69 του ν. 4172/2013».</w:t>
      </w:r>
    </w:p>
    <w:p>
      <w:pPr>
        <w:spacing w:before="240" w:after="240"/>
        <w:rPr>
          <w:lang w:val="el" w:eastAsia="el"/>
        </w:rPr>
      </w:pPr>
      <w:r>
        <w:rPr>
          <w:b/>
          <w:bCs/>
          <w:lang w:val="el" w:eastAsia="el"/>
        </w:rPr>
        <w:t>7.Την υπό στοιχεία Α.1204/2020 (Β΄3972)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 4172/2013 που παρακρατούνται στο εισόδημα από αμοιβές πληρωμάτων εμπορικού ναυτικού».</w:t>
      </w:r>
    </w:p>
    <w:p>
      <w:pPr>
        <w:spacing w:before="240" w:after="240"/>
        <w:rPr>
          <w:lang w:val="el" w:eastAsia="el"/>
        </w:rPr>
      </w:pPr>
      <w:r>
        <w:rPr>
          <w:b/>
          <w:bCs/>
          <w:lang w:val="el" w:eastAsia="el"/>
        </w:rPr>
        <w:t xml:space="preserve">8 </w:t>
      </w:r>
      <w:r>
        <w:rPr>
          <w:b/>
          <w:bCs/>
          <w:lang w:val="el" w:eastAsia="el"/>
        </w:rPr>
        <w:t>.Την υπό στοιχεία Α. 1137/2020 απόφαση του Διοικητή της ΑΑΔΕ «Καθορισμός της διαδικασίας υποβολής δηλώσεων φορολογίας κεφαλαίου, κοινοποίησης των πράξεων προσδιορισμού του φόρου και λήψης πιστοποιητικών των φορολογιών κεφαλαίου» (Β’ 2423).</w:t>
      </w:r>
    </w:p>
    <w:p>
      <w:pPr>
        <w:spacing w:before="240" w:after="240"/>
        <w:rPr>
          <w:lang w:val="el" w:eastAsia="el"/>
        </w:rPr>
      </w:pPr>
      <w:r>
        <w:rPr>
          <w:b/>
          <w:bCs/>
          <w:lang w:val="el" w:eastAsia="el"/>
        </w:rPr>
        <w:t xml:space="preserve">9 </w:t>
      </w:r>
      <w:r>
        <w:rPr>
          <w:b/>
          <w:bCs/>
          <w:lang w:val="el" w:eastAsia="el"/>
        </w:rPr>
        <w:t>. Την υπό στοιχεία Α. 1054/2022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 2154).</w:t>
      </w:r>
    </w:p>
    <w:p>
      <w:pPr>
        <w:spacing w:before="240" w:after="240"/>
        <w:rPr>
          <w:lang w:val="el" w:eastAsia="el"/>
        </w:rPr>
      </w:pPr>
      <w:r>
        <w:rPr>
          <w:b/>
          <w:bCs/>
          <w:lang w:val="el" w:eastAsia="el"/>
        </w:rPr>
        <w:t xml:space="preserve">10 </w:t>
      </w:r>
      <w:r>
        <w:rPr>
          <w:b/>
          <w:bCs/>
          <w:lang w:val="el" w:eastAsia="el"/>
        </w:rPr>
        <w:t>.Την υπό στοιχεία Δ.ΟΡΓ.Α 1125859 ΕΞ 2020/23-10-2020 απόφαση του Διοικητή της Ανεξάρτητης Αρχής Δημοσίων Εσόδων, με θέμα «Οργανισμός της Ανεξάρτητης Αρχής Δημοσίων Εσόδων (ΑΑΔΕ)» (Β΄4738).</w:t>
      </w:r>
    </w:p>
    <w:p>
      <w:pPr>
        <w:spacing w:before="240" w:after="240"/>
        <w:rPr>
          <w:lang w:val="el" w:eastAsia="el"/>
        </w:rPr>
      </w:pPr>
      <w:r>
        <w:rPr>
          <w:b/>
          <w:bCs/>
          <w:lang w:val="el" w:eastAsia="el"/>
        </w:rPr>
        <w:t xml:space="preserve">11 </w:t>
      </w:r>
      <w:r>
        <w:rPr>
          <w:b/>
          <w:bCs/>
          <w:lang w:val="el" w:eastAsia="el"/>
        </w:rPr>
        <w:t>. 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spacing w:before="240" w:after="240"/>
        <w:rPr>
          <w:lang w:val="el" w:eastAsia="el"/>
        </w:rPr>
      </w:pPr>
      <w:r>
        <w:rPr>
          <w:b/>
          <w:bCs/>
          <w:lang w:val="el" w:eastAsia="el"/>
        </w:rPr>
        <w:t xml:space="preserve">12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υπο στοιχεία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13 </w:t>
      </w:r>
      <w:r>
        <w:rPr>
          <w:b/>
          <w:bCs/>
          <w:lang w:val="el" w:eastAsia="el"/>
        </w:rPr>
        <w:t xml:space="preserve">.Την από 19.10.2022 εισήγηση της Κυβερνητικής Επιτροπής Κρατικής Αρωγής του άρ. 13 του ν. 4797/2021 (Α΄66) για τη χορήγηση παράτασης 2 εβδομάδων πέραν της 31 </w:t>
      </w:r>
      <w:r>
        <w:rPr>
          <w:b/>
          <w:bCs/>
          <w:sz w:val="30"/>
          <w:szCs w:val="30"/>
          <w:vertAlign w:val="superscript"/>
          <w:lang w:val="el" w:eastAsia="el"/>
        </w:rPr>
        <w:t xml:space="preserve">ης </w:t>
      </w:r>
      <w:r>
        <w:rPr>
          <w:b/>
          <w:bCs/>
          <w:lang w:val="el" w:eastAsia="el"/>
        </w:rPr>
        <w:t>Οκτωβρίου 2022 ως προς την προθεσμία υποβολής δηλωτικών υποχρεώσεων για τον Δήμο Σητείας.</w:t>
      </w:r>
    </w:p>
    <w:p>
      <w:pPr>
        <w:spacing w:before="240" w:after="240"/>
        <w:rPr>
          <w:lang w:val="el" w:eastAsia="el"/>
        </w:rPr>
      </w:pPr>
      <w:r>
        <w:rPr>
          <w:b/>
          <w:bCs/>
          <w:lang w:val="el" w:eastAsia="el"/>
        </w:rPr>
        <w:t xml:space="preserve">14 </w:t>
      </w:r>
      <w:r>
        <w:rPr>
          <w:b/>
          <w:bCs/>
          <w:lang w:val="el" w:eastAsia="el"/>
        </w:rPr>
        <w:t>.Την ανάγκη εξυπηρέτησης και διευκόλυνσης για την υποβολή δηλώσεων των φυσικών προσώπων και των νομικών προσώπων και οντοτήτων που έχουν κύρια κατοικία ή κύρια εγκατάσταση (έδρα) στον Δήμο Σητείας της ΠΕ Λασιθίου λόγω της θεομηνίας που εκδηλώθηκε στις 15 Οκτωβρίου 2022 και προκάλεσε πλημμύρες και εκτεταμένες ζημιές και καταστροφές και διότι αιτία αυτής απορρυθμίστηκε η οικονομική και κοινωνική ζωή των κατοίκων.</w:t>
      </w:r>
    </w:p>
    <w:p>
      <w:pPr>
        <w:spacing w:before="240" w:after="240"/>
        <w:rPr>
          <w:lang w:val="el" w:eastAsia="el"/>
        </w:rPr>
      </w:pPr>
      <w:r>
        <w:rPr>
          <w:b/>
          <w:bCs/>
          <w:lang w:val="el" w:eastAsia="el"/>
        </w:rPr>
        <w:t xml:space="preserve">15 </w:t>
      </w:r>
      <w:r>
        <w:rPr>
          <w:b/>
          <w:bCs/>
          <w:lang w:val="el" w:eastAsia="el"/>
        </w:rPr>
        <w:t>.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1. </w:t>
      </w:r>
      <w:r>
        <w:rPr>
          <w:b/>
          <w:bCs/>
          <w:lang w:val="el" w:eastAsia="el"/>
        </w:rPr>
        <w:t>Οι αρχικές δηλώσεις των φυσικών προσώπων και των νομικών προσώπων και οντοτήτων, που έχουν την κύρια κατοικία ή κύρια εγκατάσταση (έδρα) στον Δήμο Σητείας για την απόδοση:</w:t>
      </w:r>
    </w:p>
    <w:p>
      <w:pPr>
        <w:pStyle w:val="StructureList1"/>
        <w:spacing w:before="120" w:after="0"/>
        <w:rPr>
          <w:lang w:val="el" w:eastAsia="el"/>
        </w:rPr>
      </w:pPr>
      <w:r>
        <w:rPr>
          <w:b/>
          <w:bCs/>
          <w:lang w:val="el" w:eastAsia="el"/>
        </w:rPr>
        <w:t>α)</w:t>
      </w:r>
      <w:r>
        <w:rPr>
          <w:b/>
          <w:bCs/>
          <w:lang w:val="en" w:eastAsia="en"/>
        </w:rPr>
        <w:tab/>
      </w:r>
      <w:r>
        <w:rPr>
          <w:b/>
          <w:bCs/>
          <w:lang w:val="el" w:eastAsia="el"/>
        </w:rPr>
        <w:t>παρακρατούμενων φόρων εισοδήματος και ειδικής εισφοράς αλληλεγγύης του άρθρου 43Α του ν. 4172/2013, β) φόρων κληρονομιών, δωρεών, γονικών παροχών και μεταβίβασης ακινήτων, γ) τελών χαρτοσήμου και λοιπών εμμέσων φόρων, τελών και εισφορών υπέρ του Δημοσίου ή τρίτων</w:t>
      </w:r>
    </w:p>
    <w:p>
      <w:pPr>
        <w:spacing w:before="240" w:after="240"/>
        <w:rPr>
          <w:lang w:val="el" w:eastAsia="el"/>
        </w:rPr>
      </w:pPr>
      <w:r>
        <w:rPr>
          <w:b/>
          <w:bCs/>
          <w:lang w:val="el" w:eastAsia="el"/>
        </w:rPr>
        <w:t>που έχουν καταληκτική ημερομηνία έως την 31η Οκτωβρίου 2022, υποβάλλονται εμπρόθεσμα μέχρι και την 14η Νοεμβρίου 2022.</w:t>
      </w:r>
    </w:p>
    <w:p>
      <w:pPr>
        <w:spacing w:before="240" w:after="240"/>
        <w:rPr>
          <w:lang w:val="el" w:eastAsia="el"/>
        </w:rPr>
      </w:pPr>
      <w:r>
        <w:rPr>
          <w:b/>
          <w:bCs/>
          <w:lang w:val="el" w:eastAsia="el"/>
        </w:rPr>
        <w:t xml:space="preserve">2. </w:t>
      </w:r>
      <w:r>
        <w:rPr>
          <w:b/>
          <w:bCs/>
          <w:lang w:val="el" w:eastAsia="el"/>
        </w:rPr>
        <w:t>Παρατείνεται μέχρι και την 14η Νοεμβρίου 2022 για τους υποκείμενους που έχουν την κύρια εγκατάσταση (έδρα) της επιχειρηματικής τους δραστηριότητας στον Δήμο Σητείας:</w:t>
      </w:r>
    </w:p>
    <w:p>
      <w:pPr>
        <w:spacing w:before="240" w:after="240"/>
        <w:rPr>
          <w:lang w:val="el" w:eastAsia="el"/>
        </w:rPr>
      </w:pPr>
      <w:r>
        <w:rPr>
          <w:b/>
          <w:bCs/>
          <w:lang w:val="el" w:eastAsia="el"/>
        </w:rPr>
        <w:t>α. η προθεσμία υποβολής των δηλώσεων ΦΠΑ των οποίων η καταληκτική προθεσμία υποβολής τους είναι την 31η Οκτωβρίου 2022. Η προθεσμία καταβολής του φόρου που τυχόν προκύπτει από τις δηλώσεις αυτές είναι μέχρι την 30ή Νοεμβρίου 2022. Η ιδία καταληκτική ημερομηνία (30.11.2022) ισχύει και για τις δύο δόσεις στην περίπτωση επιλογής καταβολής του οφειλόμενου ποσού σε δόσεις.</w:t>
      </w:r>
    </w:p>
    <w:p>
      <w:pPr>
        <w:spacing w:before="240" w:after="240"/>
        <w:rPr>
          <w:lang w:val="el" w:eastAsia="el"/>
        </w:rPr>
      </w:pPr>
      <w:r>
        <w:rPr>
          <w:b/>
          <w:bCs/>
          <w:lang w:val="el" w:eastAsia="el"/>
        </w:rPr>
        <w:t>β. η προθεσμία υποβολής των ανακεφαλαιωτικών πινάκων, των οποίων η καταληκτική προθεσμία υποβολής τους είναι στις 26.10.2022</w:t>
      </w:r>
    </w:p>
    <w:p>
      <w:pPr>
        <w:spacing w:before="240" w:after="240"/>
        <w:rPr>
          <w:lang w:val="el" w:eastAsia="el"/>
        </w:rPr>
      </w:pPr>
      <w:r>
        <w:rPr>
          <w:b/>
          <w:bCs/>
          <w:lang w:val="el" w:eastAsia="el"/>
        </w:rPr>
        <w:t xml:space="preserve">3. </w:t>
      </w:r>
      <w:r>
        <w:rPr>
          <w:b/>
          <w:bCs/>
          <w:lang w:val="el" w:eastAsia="el"/>
        </w:rPr>
        <w:t>H ιδία καταληκτική ημερομηνία (14.11.2022) ισχύει και για την υποβολή αιτήσεων- δηλώσεων επιστροφής Φ.Π.Α. αγροτών του ειδικού καθεστώτος του άρθρου 41 του Κώδικα Φ.Π.Α. με κύρια κατοικία ή αγροτική του εκμετάλλευση στον Δήμο Σητείας .</w:t>
      </w:r>
    </w:p>
    <w:p>
      <w:pPr>
        <w:spacing w:before="240" w:after="240"/>
        <w:rPr>
          <w:lang w:val="el" w:eastAsia="el"/>
        </w:rPr>
      </w:pPr>
      <w:r>
        <w:rPr>
          <w:b/>
          <w:bCs/>
          <w:lang w:val="el" w:eastAsia="el"/>
        </w:rPr>
        <w:t xml:space="preserve">4. </w:t>
      </w:r>
      <w:r>
        <w:rPr>
          <w:b/>
          <w:bCs/>
          <w:lang w:val="el" w:eastAsia="el"/>
        </w:rPr>
        <w:t>Οι διατάξεις των προηγούμενων παραγράφων ισχύουν και για τους φορολογούμενους ανεξαρτήτως της περιφέρειας στην οποία έχουν κύρια κατοικία ή κύρια εγκατάσταση (έδρα), οι οποίοι είναι εντολείς/πελάτες λογιστή – φοροτεχνικού - λογιστικού γραφείου που έχει έδρα στον Δήμο Σητείας της ΠΕ Λασιθίου. Η εν λόγω ρύθμιση ισχύει για τους φορολογούμενους εντολείς/πελάτες από τους οποίους ο λογιστής – φοροτεχνικός – λογιστικό γραφείο αποδεδειγμένα έχει εξουσιοδοτηθεί ψηφιακά στην εφαρμογή διαχείρισης εξουσιοδοτήσεων των ηλεκτρονικών εφαρμογών, μέσω της ψηφιακής πύλης myAADE, το αργότερο έως την 3110-2022.</w:t>
      </w:r>
    </w:p>
    <w:p>
      <w:pPr>
        <w:spacing w:before="240" w:after="240"/>
        <w:rPr>
          <w:lang w:val="el" w:eastAsia="el"/>
        </w:rPr>
      </w:pPr>
      <w:r>
        <w:rPr>
          <w:b/>
          <w:bCs/>
          <w:lang w:val="el" w:eastAsia="el"/>
        </w:rPr>
        <w:t xml:space="preserve">5. </w:t>
      </w:r>
      <w:r>
        <w:rPr>
          <w:b/>
          <w:bCs/>
          <w:lang w:val="el" w:eastAsia="el"/>
        </w:rPr>
        <w:t>Η παρούσα απόφαση ισχύει από τον χρόνο υπογραφής της.</w:t>
      </w:r>
    </w:p>
    <w:p>
      <w:pPr>
        <w:spacing w:before="240" w:after="240"/>
        <w:rPr>
          <w:lang w:val="el" w:eastAsia="el"/>
        </w:rPr>
      </w:pPr>
      <w:r>
        <w:rPr>
          <w:b/>
          <w:bCs/>
          <w:lang w:val="el" w:eastAsia="el"/>
        </w:rPr>
        <w:t xml:space="preserve">6.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ΑΑΔΕΓΕΩΡΓΙΟΣ ΠΙΤΣΙΛΗΣ</w:t>
      </w: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 πλην των αριθμ. 1 και 2</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b/>
          <w:bCs/>
          <w:lang w:val="el" w:eastAsia="el"/>
        </w:rPr>
        <w:t xml:space="preserve">3.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8"/>
        <w:gridCol w:w="38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bCs/>
                <w:i w:val="0"/>
                <w:iCs w:val="0"/>
                <w:smallCaps w:val="0"/>
                <w:color w:val="000000"/>
                <w:lang w:val="el" w:eastAsia="el"/>
              </w:rPr>
              <w:t>» » Ζ΄.</w:t>
            </w:r>
          </w:p>
          <w:p>
            <w:pPr>
              <w:spacing w:before="240"/>
              <w:rPr>
                <w:b w:val="0"/>
                <w:bCs w:val="0"/>
                <w:i w:val="0"/>
                <w:iCs w:val="0"/>
                <w:smallCaps w:val="0"/>
                <w:color w:val="000000"/>
                <w:lang w:val="el" w:eastAsia="el"/>
              </w:rPr>
            </w:pPr>
            <w:r>
              <w:rPr>
                <w:b/>
                <w:bCs/>
                <w:i w:val="0"/>
                <w:iCs w:val="0"/>
                <w:smallCaps w:val="0"/>
                <w:color w:val="000000"/>
                <w:lang w:val="el" w:eastAsia="el"/>
              </w:rPr>
              <w:t>» »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μόνο οι αριθμ. 1 και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 Θ΄ μόνο οι αριθμ 10,17 και 18.</w:t>
            </w:r>
          </w:p>
          <w:p>
            <w:pPr>
              <w:spacing w:before="240" w:after="240"/>
              <w:rPr>
                <w:b w:val="0"/>
                <w:bCs w:val="0"/>
                <w:i w:val="0"/>
                <w:iCs w:val="0"/>
                <w:smallCaps w:val="0"/>
                <w:color w:val="000000"/>
                <w:lang w:val="el" w:eastAsia="el"/>
              </w:rPr>
            </w:pPr>
            <w:r>
              <w:rPr>
                <w:b/>
                <w:bCs/>
                <w:i w:val="0"/>
                <w:iCs w:val="0"/>
                <w:smallCaps w:val="0"/>
                <w:color w:val="000000"/>
                <w:lang w:val="el" w:eastAsia="el"/>
              </w:rPr>
              <w:t>» » Ι΄.</w:t>
            </w:r>
          </w:p>
          <w:p>
            <w:pPr>
              <w:spacing w:before="240" w:after="240"/>
              <w:rPr>
                <w:b w:val="0"/>
                <w:bCs w:val="0"/>
                <w:i w:val="0"/>
                <w:iCs w:val="0"/>
                <w:smallCaps w:val="0"/>
                <w:color w:val="000000"/>
                <w:lang w:val="el" w:eastAsia="el"/>
              </w:rPr>
            </w:pPr>
            <w:r>
              <w:rPr>
                <w:b/>
                <w:bCs/>
                <w:i w:val="0"/>
                <w:iCs w:val="0"/>
                <w:smallCaps w:val="0"/>
                <w:color w:val="000000"/>
                <w:lang w:val="el" w:eastAsia="el"/>
              </w:rPr>
              <w:t>» » ΙΒ΄.</w:t>
            </w:r>
          </w:p>
          <w:p>
            <w:pPr>
              <w:spacing w:before="240" w:after="240"/>
              <w:rPr>
                <w:b w:val="0"/>
                <w:bCs w:val="0"/>
                <w:i w:val="0"/>
                <w:iCs w:val="0"/>
                <w:smallCaps w:val="0"/>
                <w:color w:val="000000"/>
                <w:lang w:val="el" w:eastAsia="el"/>
              </w:rPr>
            </w:pPr>
            <w:r>
              <w:rPr>
                <w:b/>
                <w:bCs/>
                <w:i w:val="0"/>
                <w:iCs w:val="0"/>
                <w:smallCaps w:val="0"/>
                <w:color w:val="000000"/>
                <w:lang w:val="el" w:eastAsia="el"/>
              </w:rPr>
              <w:t>» » ΙΣΤ΄.</w:t>
            </w:r>
          </w:p>
          <w:p>
            <w:pPr>
              <w:spacing w:before="240" w:after="240"/>
              <w:rPr>
                <w:b w:val="0"/>
                <w:bCs w:val="0"/>
                <w:i w:val="0"/>
                <w:iCs w:val="0"/>
                <w:smallCaps w:val="0"/>
                <w:color w:val="000000"/>
                <w:lang w:val="el" w:eastAsia="el"/>
              </w:rPr>
            </w:pPr>
            <w:r>
              <w:rPr>
                <w:b/>
                <w:bCs/>
                <w:i w:val="0"/>
                <w:iCs w:val="0"/>
                <w:smallCaps w:val="0"/>
                <w:color w:val="000000"/>
                <w:lang w:val="el" w:eastAsia="el"/>
              </w:rPr>
              <w:t>» » ΙΖ΄.</w:t>
            </w:r>
          </w:p>
          <w:p>
            <w:pPr>
              <w:spacing w:before="240" w:after="240"/>
              <w:rPr>
                <w:b w:val="0"/>
                <w:bCs w:val="0"/>
                <w:i w:val="0"/>
                <w:iCs w:val="0"/>
                <w:smallCaps w:val="0"/>
                <w:color w:val="000000"/>
                <w:lang w:val="el" w:eastAsia="el"/>
              </w:rPr>
            </w:pPr>
            <w:r>
              <w:rPr>
                <w:b/>
                <w:bCs/>
                <w:i w:val="0"/>
                <w:iCs w:val="0"/>
                <w:smallCaps w:val="0"/>
                <w:color w:val="000000"/>
                <w:lang w:val="el" w:eastAsia="el"/>
              </w:rPr>
              <w:t>» » ΙΘ΄.</w:t>
            </w:r>
          </w:p>
          <w:p>
            <w:pPr>
              <w:spacing w:before="240"/>
              <w:rPr>
                <w:b w:val="0"/>
                <w:bCs w:val="0"/>
                <w:i w:val="0"/>
                <w:iCs w:val="0"/>
                <w:smallCaps w:val="0"/>
                <w:color w:val="000000"/>
                <w:lang w:val="el" w:eastAsia="el"/>
              </w:rPr>
            </w:pPr>
            <w:r>
              <w:rPr>
                <w:b/>
                <w:bCs/>
                <w:i w:val="0"/>
                <w:iCs w:val="0"/>
                <w:smallCaps w:val="0"/>
                <w:color w:val="000000"/>
                <w:lang w:val="el" w:eastAsia="el"/>
              </w:rPr>
              <w:t>» » ΚΑ΄.</w:t>
            </w:r>
          </w:p>
        </w:tc>
      </w:tr>
    </w:tbl>
    <w:p>
      <w:pPr>
        <w:spacing w:before="240" w:after="240"/>
        <w:rPr>
          <w:lang w:val="el" w:eastAsia="el"/>
        </w:rPr>
      </w:pPr>
      <w:r>
        <w:rPr>
          <w:b/>
          <w:bCs/>
          <w:lang w:val="el" w:eastAsia="el"/>
        </w:rPr>
        <w:t xml:space="preserve">13. </w:t>
      </w:r>
      <w:r>
        <w:rPr>
          <w:b/>
          <w:bCs/>
          <w:lang w:val="el" w:eastAsia="el"/>
        </w:rPr>
        <w:t>Γραφείο Υπουργού Οικονομικών κ. Χ. Σταïκούρα</w:t>
      </w:r>
    </w:p>
    <w:p>
      <w:pPr>
        <w:spacing w:before="240" w:after="240"/>
        <w:rPr>
          <w:lang w:val="el" w:eastAsia="el"/>
        </w:rPr>
      </w:pPr>
      <w:r>
        <w:rPr>
          <w:b/>
          <w:bCs/>
          <w:lang w:val="el" w:eastAsia="el"/>
        </w:rPr>
        <w:t xml:space="preserve">14. </w:t>
      </w:r>
      <w:r>
        <w:rPr>
          <w:b/>
          <w:bCs/>
          <w:lang w:val="el" w:eastAsia="el"/>
        </w:rPr>
        <w:t>Γραφείο Υφυπουργού Οικονομικών κ. Α. Βεσυρόπουλου</w:t>
      </w:r>
    </w:p>
    <w:p>
      <w:pPr>
        <w:spacing w:before="240" w:after="240"/>
        <w:rPr>
          <w:lang w:val="el" w:eastAsia="el"/>
        </w:rPr>
      </w:pPr>
      <w:r>
        <w:rPr>
          <w:b/>
          <w:bCs/>
          <w:lang w:val="el" w:eastAsia="el"/>
        </w:rPr>
        <w:t xml:space="preserve">15. </w:t>
      </w:r>
      <w:r>
        <w:rPr>
          <w:b/>
          <w:bCs/>
          <w:lang w:val="el" w:eastAsia="el"/>
        </w:rPr>
        <w:t>Γραφείο Γεν. Γραμματέα Φορολογικής Πολιτικής και Δημ.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Διοικητού ΑΑΔΕ</w:t>
      </w:r>
    </w:p>
    <w:p>
      <w:pPr>
        <w:spacing w:before="240" w:after="240"/>
        <w:rPr>
          <w:lang w:val="el" w:eastAsia="el"/>
        </w:rPr>
      </w:pPr>
      <w:r>
        <w:rPr>
          <w:b/>
          <w:bCs/>
          <w:lang w:val="el" w:eastAsia="el"/>
        </w:rPr>
        <w:t xml:space="preserve">2. </w:t>
      </w:r>
      <w:r>
        <w:rPr>
          <w:b/>
          <w:bCs/>
          <w:lang w:val="el" w:eastAsia="el"/>
        </w:rPr>
        <w:t>Γραφείο κ. κ. Γενικών Διευθυντών</w:t>
      </w:r>
    </w:p>
    <w:p>
      <w:pPr>
        <w:spacing w:before="240" w:after="240"/>
        <w:rPr>
          <w:lang w:val="el" w:eastAsia="el"/>
        </w:rPr>
      </w:pPr>
      <w:r>
        <w:rPr>
          <w:b/>
          <w:bCs/>
          <w:lang w:val="el" w:eastAsia="el"/>
        </w:rPr>
        <w:t xml:space="preserve">3. </w:t>
      </w:r>
      <w:r>
        <w:rPr>
          <w:b/>
          <w:bCs/>
          <w:lang w:val="el" w:eastAsia="el"/>
        </w:rPr>
        <w:t>Διεύθυνση Εφαρμογής Φορολογίας Κεφαλαίου &amp; Περιουσιολογίου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