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1.ΥΠΟΥΡΓΕΙΟ ΟΙΚΟΝΟΜΙΚΩΝ</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 xml:space="preserve">106 72 210-3635007 </w:t>
      </w:r>
      <w:hyperlink r:id="rId4" w:history="1">
        <w:r>
          <w:rPr>
            <w:rStyle w:val="Hyperlink"/>
            <w:b/>
            <w:bCs/>
            <w:color w:val="0000EE"/>
            <w:u w:color="0000EE"/>
            <w:lang w:val="el" w:eastAsia="el"/>
          </w:rPr>
          <w:t>deispraxeon@ aade .gr</w:t>
        </w:r>
      </w:hyperlink>
    </w:p>
    <w:p>
      <w:pPr>
        <w:pStyle w:val="Title"/>
        <w:spacing w:before="120" w:after="360"/>
        <w:rPr>
          <w:lang w:val="el" w:eastAsia="el"/>
        </w:rPr>
      </w:pPr>
      <w:r>
        <w:rPr>
          <w:b/>
          <w:bCs/>
          <w:lang w:val="el" w:eastAsia="el"/>
        </w:rPr>
        <w:t>Β. ΓΕΝΙΚΗ ΔΙΕΥΘΥΝΣΗ ΤΕΛΩΝΕΙΩΝ &amp; Ε.Φ.Κ.</w:t>
      </w:r>
    </w:p>
    <w:p>
      <w:pPr>
        <w:pStyle w:val="Title"/>
        <w:spacing w:before="120" w:after="360"/>
        <w:rPr>
          <w:lang w:val="el" w:eastAsia="el"/>
        </w:rPr>
      </w:pPr>
      <w:r>
        <w:rPr>
          <w:b/>
          <w:bCs/>
          <w:lang w:val="el" w:eastAsia="el"/>
        </w:rPr>
        <w:t>ΔΙΕΥΘΥΝΣΗ ΤΕΛΩΝΕΙΑΚΩΝ ΔΙΑΔΙΚΑΣΙΩΝ - ΤΜΗΜΑ Δ'</w:t>
      </w:r>
    </w:p>
    <w:p>
      <w:pPr>
        <w:pStyle w:val="Title"/>
        <w:spacing w:before="120" w:after="360"/>
        <w:rPr>
          <w:lang w:val="el" w:eastAsia="el"/>
        </w:rPr>
      </w:pPr>
      <w:r>
        <w:rPr>
          <w:b/>
          <w:bCs/>
          <w:lang w:val="el" w:eastAsia="el"/>
        </w:rPr>
        <w:t>Θέμα: «Τροποποίηση της υπό στοιχεία ΔΠΕΙΣ 1198598 ΕΞ 31.12.2013 απόφασης του Υπουργού Οικονομικών “Καθορισμός των επιτοκίων του άρθρου 53 του ν.4174/2013” (Β΄19/2014 και Β΄113/2014)»</w:t>
      </w:r>
    </w:p>
    <w:p>
      <w:pPr>
        <w:pStyle w:val="enacting"/>
        <w:spacing w:before="120" w:after="0"/>
        <w:rPr>
          <w:lang w:val="el" w:eastAsia="el"/>
        </w:rPr>
      </w:pPr>
      <w:r>
        <w:rPr>
          <w:b/>
          <w:bCs/>
          <w:lang w:val="el" w:eastAsia="el"/>
        </w:rPr>
        <w:t>ΑΠΟΦΑΣΗΟ 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παρ.4 του άρθρου 53 του ν. 4174/2013 (Α΄170), «Φορολογικές διαδικασίες και άλλες διατάξεις»,</w:t>
      </w:r>
    </w:p>
    <w:p>
      <w:pPr>
        <w:pStyle w:val="StructureList1"/>
        <w:spacing w:before="120" w:after="0"/>
        <w:rPr>
          <w:lang w:val="el" w:eastAsia="el"/>
        </w:rPr>
      </w:pPr>
      <w:r>
        <w:rPr>
          <w:lang w:val="el" w:eastAsia="el"/>
        </w:rPr>
        <w:t>β)</w:t>
      </w:r>
      <w:r>
        <w:rPr>
          <w:lang w:val="en" w:eastAsia="en"/>
        </w:rPr>
        <w:tab/>
      </w:r>
      <w:r>
        <w:rPr>
          <w:b/>
          <w:bCs/>
          <w:lang w:val="el" w:eastAsia="el"/>
        </w:rPr>
        <w:t>των άρθρων 6, 84 και 85 του ν.4978/2022 (Α΄ 190) «Κύρωση Κώδικα Είσπραξης Δημοσίων Εσόδων»,</w:t>
      </w:r>
    </w:p>
    <w:p>
      <w:pPr>
        <w:pStyle w:val="StructureList1"/>
        <w:spacing w:before="120" w:after="0"/>
        <w:rPr>
          <w:lang w:val="el" w:eastAsia="el"/>
        </w:rPr>
      </w:pPr>
      <w:r>
        <w:rPr>
          <w:lang w:val="el" w:eastAsia="el"/>
        </w:rPr>
        <w:t>γ)</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δ)</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ε)</w:t>
      </w:r>
      <w:r>
        <w:rPr>
          <w:lang w:val="en" w:eastAsia="en"/>
        </w:rPr>
        <w:tab/>
      </w:r>
      <w:r>
        <w:rPr>
          <w:b/>
          <w:bCs/>
          <w:lang w:val="el" w:eastAsia="el"/>
        </w:rPr>
        <w:t>του π.δ. 83/2019 «Διορισμός Αντιπροέδρου της Κυβέρνησης, Υπουργών, Αναπληρωτών Υπουργών και Υφυπουργών» (Α΄ 121 και 126),</w:t>
      </w:r>
    </w:p>
    <w:p>
      <w:pPr>
        <w:pStyle w:val="StructureList1"/>
        <w:spacing w:before="120" w:after="0"/>
        <w:rPr>
          <w:lang w:val="el" w:eastAsia="el"/>
        </w:rPr>
      </w:pPr>
      <w:r>
        <w:rPr>
          <w:lang w:val="el" w:eastAsia="el"/>
        </w:rPr>
        <w:t>στ)</w:t>
      </w:r>
      <w:r>
        <w:rPr>
          <w:lang w:val="en" w:eastAsia="en"/>
        </w:rPr>
        <w:tab/>
      </w:r>
      <w:r>
        <w:rPr>
          <w:b/>
          <w:bCs/>
          <w:lang w:val="el" w:eastAsia="el"/>
        </w:rPr>
        <w:t>του π.δ. 84/2019 «Σύσταση και κατάργηση Γενικών Γραμματειών και Ειδικών Γραμματειών/Ενιαίων Διοικητικών Τομέων Υπουργείων» (Α΄123),</w:t>
      </w:r>
    </w:p>
    <w:p>
      <w:pPr>
        <w:pStyle w:val="StructureList1"/>
        <w:spacing w:before="120" w:after="0"/>
        <w:rPr>
          <w:lang w:val="el" w:eastAsia="el"/>
        </w:rPr>
      </w:pPr>
      <w:r>
        <w:rPr>
          <w:lang w:val="el" w:eastAsia="el"/>
        </w:rPr>
        <w:t>ζ)</w:t>
      </w:r>
      <w:r>
        <w:rPr>
          <w:lang w:val="en" w:eastAsia="en"/>
        </w:rPr>
        <w:tab/>
      </w:r>
      <w:r>
        <w:rPr>
          <w:b/>
          <w:bCs/>
          <w:lang w:val="el" w:eastAsia="el"/>
        </w:rPr>
        <w:t>του π.δ. 62/2020 «Διορισμός Αναπληρωτών Υπουργών και Υφυπουργών» (Α’ 155), η) της υπό στοιχεία Δ. ΟΡΓ. Α 1125859 ΕΞ2020/23.10.2020 (Β’ 4738)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 xml:space="preserve">2. </w:t>
      </w:r>
      <w:r>
        <w:rPr>
          <w:b/>
          <w:bCs/>
          <w:lang w:val="el" w:eastAsia="el"/>
        </w:rPr>
        <w:t>Την υπό στοιχεία ΔΠΕΙΣ 1198598 ΕΞ 31.12.2013 απόφαση του Υπουργού Οικονομικών «Καθορισμός των επιτοκίων του άρθρου 53 του ν.4174/2013» (Β΄19/2014 και Β΄113/2014). 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αναδρομικής μεταβολής των επιτοκίων του άρθρου 53 του ν. 4174/2013.</w:t>
      </w:r>
    </w:p>
    <w:p>
      <w:pPr>
        <w:pStyle w:val="PreambelText"/>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κρατικού προϋπολογισμού καθώς και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3 της υπό στοιχεία ΔΠΕΙΣ 1198598 ΕΞ 31.12.2013 απόφασης του Υπουργού Οικονομικών «Καθορισμός των επιτοκίων του άρθρου 53 του ν.4174/2013»,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Το επιτόκιο των άρθρων 1 και 2 της παρούσας δεν μεταβάλλεται κατά το μέρος που αφορά το επιτόκιο των πράξεων Κύριας Αναχρηματοδότησης της Ευρωπαϊκής Κεντρικής Τράπεζας (MRO) πριν την εκάστοτε σωρευτική μεταβολή αυτού κατά δύο (2) εκατοστιαίες μονάδες λαμβανομένου ως βάση υπολογισμού του επιτοκίου που ισχύει κατά την ημερομηνία έναρξης ισχύος της παρούσας, σύμφωνα με την παρ. 1 του άρθρου 4».</w:t>
      </w:r>
    </w:p>
    <w:p>
      <w:pPr>
        <w:pStyle w:val="MainText"/>
        <w:spacing w:before="120" w:after="0"/>
        <w:rPr>
          <w:lang w:val="el" w:eastAsia="el"/>
        </w:rPr>
      </w:pPr>
      <w:r>
        <w:rPr>
          <w:b/>
          <w:bCs/>
          <w:lang w:val="el" w:eastAsia="el"/>
        </w:rPr>
        <w:t>2.</w:t>
      </w:r>
      <w:r>
        <w:rPr>
          <w:lang w:val="el" w:eastAsia="el"/>
        </w:rPr>
        <w:t xml:space="preserve"> </w:t>
      </w:r>
      <w:r>
        <w:rPr>
          <w:b/>
          <w:bCs/>
          <w:lang w:val="el" w:eastAsia="el"/>
        </w:rPr>
        <w:t>Κατ’ εξαίρεση και για ένα έτος από την ημερομηνία δημοσίευσης της παρούσας απόφασης, το επιτόκιο των άρθρων 1 και 2 της υπό στοιχεία ΔΠΕΙΣ 1198598 ΕΞ 31.12.2013 απόφασης του Υπουργού Οικονομικών (Β΄19/2014 και Β΄113/2014) δεν μεταβάλλεται κατά το μέρος που αφορά το επιτόκιο των πράξεων Κύριας Αναχρηματοδότησης της Ευρωπαϊκής Κεντρικής Τράπεζας (MRO) πριν την εκάστοτε σωρευτική μεταβολή αυτού κατά τέσσερις (4) εκατοστιαίες μονάδες λαμβανομένου ως βάση υπολογισμού του επιτοκίου που ίσχυε κατά την 1η.1.2014.</w:t>
      </w:r>
    </w:p>
    <w:p>
      <w:pPr>
        <w:pStyle w:val="MainText"/>
        <w:spacing w:before="120" w:after="0"/>
        <w:rPr>
          <w:lang w:val="el" w:eastAsia="el"/>
        </w:rPr>
      </w:pPr>
      <w:r>
        <w:rPr>
          <w:b/>
          <w:bCs/>
          <w:lang w:val="el" w:eastAsia="el"/>
        </w:rPr>
        <w:t>3.</w:t>
      </w:r>
      <w:r>
        <w:rPr>
          <w:lang w:val="el" w:eastAsia="el"/>
        </w:rPr>
        <w:t xml:space="preserve"> </w:t>
      </w:r>
      <w:r>
        <w:rPr>
          <w:b/>
          <w:bCs/>
          <w:lang w:val="el" w:eastAsia="el"/>
        </w:rPr>
        <w:t>Οι διατάξεις της παρούσας ισχύουν από 13.09.2022.</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Α΄, Δ΄, Ι΄ (πλην των αποδεκτών προς ενέργεια)</w:t>
      </w:r>
    </w:p>
    <w:p>
      <w:pPr>
        <w:pStyle w:val="MainText"/>
        <w:spacing w:before="120" w:after="0"/>
        <w:rPr>
          <w:lang w:val="el" w:eastAsia="el"/>
        </w:rPr>
      </w:pPr>
      <w:r>
        <w:rPr>
          <w:b/>
          <w:bCs/>
          <w:lang w:val="el" w:eastAsia="el"/>
        </w:rPr>
        <w:t>4.</w:t>
      </w:r>
      <w:r>
        <w:rPr>
          <w:lang w:val="el" w:eastAsia="el"/>
        </w:rPr>
        <w:t xml:space="preserve"> </w:t>
      </w:r>
      <w:r>
        <w:rPr>
          <w:b/>
          <w:bCs/>
          <w:lang w:val="el" w:eastAsia="el"/>
        </w:rPr>
        <w:t>Αυτοτελές Γραφείο Τύπου και Δημοσίων Σχέσεων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Γενική Διεύθυνση Τελωνείων και Ειδικών Φόρων Κατανάλωσης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 και Δημόσιας Περιουσίας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Κέντρο Είσπραξης Ασφαλιστικών Οφειλών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Φορολογικής Διοίκησης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Εισπράξεων και Επιστροφών– Τμήματα Α-Ε,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