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w:t>
      </w:r>
    </w:p>
    <w:p>
      <w:pPr>
        <w:pStyle w:val="Title"/>
        <w:spacing w:before="120" w:after="360"/>
        <w:rPr>
          <w:lang w:val="el" w:eastAsia="el"/>
        </w:rPr>
      </w:pPr>
      <w:r>
        <w:rPr>
          <w:b/>
          <w:bCs/>
          <w:lang w:val="el" w:eastAsia="el"/>
        </w:rPr>
        <w:t>ΓΡΑΦΕΙΟ ΥΦΥΠΟΥΡΓΟΥ 2.</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Α)ΓΕΝΙΚΗ Δ/ΝΣΗ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I. ΔΙΕΥΘΥΝΣΗ ΕΛΕΓΧΩΝ</w:t>
      </w:r>
    </w:p>
    <w:p>
      <w:pPr>
        <w:spacing w:before="240" w:after="240"/>
        <w:rPr>
          <w:lang w:val="el" w:eastAsia="el"/>
        </w:rPr>
      </w:pPr>
      <w:r>
        <w:rPr>
          <w:b/>
          <w:bCs/>
          <w:lang w:val="el" w:eastAsia="el"/>
        </w:rPr>
        <w:t>ΤΜΗΜΑΤΑ Α΄ &amp; Θ΄</w:t>
      </w:r>
    </w:p>
    <w:p>
      <w:pPr>
        <w:spacing w:before="240" w:after="240"/>
        <w:rPr>
          <w:lang w:val="el" w:eastAsia="el"/>
        </w:rPr>
      </w:pPr>
      <w:r>
        <w:rPr>
          <w:b/>
          <w:bCs/>
          <w:lang w:val="el" w:eastAsia="el"/>
        </w:rPr>
        <w:t>Ταχ. Δ/νση : Χανδρή 1 &amp;</w:t>
      </w:r>
    </w:p>
    <w:p>
      <w:pPr>
        <w:spacing w:before="240" w:after="240"/>
        <w:rPr>
          <w:lang w:val="el" w:eastAsia="el"/>
        </w:rPr>
      </w:pPr>
      <w:r>
        <w:rPr>
          <w:b/>
          <w:bCs/>
          <w:lang w:val="el" w:eastAsia="el"/>
        </w:rPr>
        <w:t>Θεσσαλονίκης</w:t>
      </w:r>
    </w:p>
    <w:p>
      <w:pPr>
        <w:spacing w:before="240" w:after="240"/>
        <w:rPr>
          <w:lang w:val="el" w:eastAsia="el"/>
        </w:rPr>
      </w:pPr>
      <w:r>
        <w:rPr>
          <w:b/>
          <w:bCs/>
          <w:lang w:val="el" w:eastAsia="el"/>
        </w:rPr>
        <w:t>Ταχ. Κώδικας : 18346, Αθήνα</w:t>
      </w:r>
    </w:p>
    <w:p>
      <w:pPr>
        <w:spacing w:before="240" w:after="240"/>
        <w:rPr>
          <w:lang w:val="el" w:eastAsia="el"/>
        </w:rPr>
      </w:pPr>
      <w:r>
        <w:rPr>
          <w:b/>
          <w:bCs/>
          <w:lang w:val="el" w:eastAsia="el"/>
        </w:rPr>
        <w:t>Τηλέφωνο : 210-4802648, 210</w:t>
      </w:r>
    </w:p>
    <w:p>
      <w:pPr>
        <w:spacing w:before="240" w:after="240"/>
        <w:rPr>
          <w:lang w:val="el" w:eastAsia="el"/>
        </w:rPr>
      </w:pPr>
      <w:r>
        <w:rPr>
          <w:b/>
          <w:bCs/>
          <w:lang w:val="el" w:eastAsia="el"/>
        </w:rPr>
        <w:t>4802282, 210-4802621</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d.eleg01@aade.gr</w:t>
        </w:r>
      </w:hyperlink>
    </w:p>
    <w:p>
      <w:pPr>
        <w:spacing w:before="240" w:after="240"/>
        <w:rPr>
          <w:lang w:val="el" w:eastAsia="el"/>
        </w:rPr>
      </w:pPr>
      <w:r>
        <w:rPr>
          <w:b/>
          <w:bCs/>
          <w:lang w:val="el" w:eastAsia="el"/>
        </w:rPr>
        <w:t>ΑΔΑ: ΨΑ8Γ46ΜΠ3Ζ-ΝΞΣ</w:t>
      </w:r>
    </w:p>
    <w:p>
      <w:pPr>
        <w:spacing w:before="240" w:after="240"/>
        <w:rPr>
          <w:lang w:val="el" w:eastAsia="el"/>
        </w:rPr>
      </w:pPr>
      <w:r>
        <w:rPr>
          <w:b/>
          <w:bCs/>
          <w:lang w:val="el" w:eastAsia="el"/>
        </w:rPr>
        <w:t>Αριθ. ΦΕΚ: 5651 Β’/04.11.2022</w:t>
      </w:r>
    </w:p>
    <w:p>
      <w:pPr>
        <w:spacing w:before="240" w:after="240"/>
        <w:rPr>
          <w:lang w:val="el" w:eastAsia="el"/>
        </w:rPr>
      </w:pPr>
      <w:r>
        <w:rPr>
          <w:b/>
          <w:bCs/>
          <w:lang w:val="el" w:eastAsia="el"/>
        </w:rPr>
        <w:t>Αθήνα, 4 Νοεμβρίου 2022</w:t>
      </w:r>
    </w:p>
    <w:p>
      <w:pPr>
        <w:spacing w:before="240" w:after="240"/>
        <w:rPr>
          <w:lang w:val="el" w:eastAsia="el"/>
        </w:rPr>
      </w:pPr>
      <w:r>
        <w:rPr>
          <w:b/>
          <w:bCs/>
          <w:lang w:val="el" w:eastAsia="el"/>
        </w:rPr>
        <w:t>Α.1157</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b/>
          <w:bCs/>
          <w:lang w:val="el" w:eastAsia="el"/>
        </w:rPr>
        <w:t>I. Δ/ΝΣΗ ΑΝΑΠΤΥΞΗΣ ΦΟΡΟΛΟΓΙΚΩΝ ΕΦΑΡΜΟΓΩΝ</w:t>
      </w:r>
    </w:p>
    <w:p>
      <w:pPr>
        <w:pStyle w:val="StructureList1"/>
        <w:spacing w:before="120" w:after="0"/>
        <w:rPr>
          <w:lang w:val="el" w:eastAsia="el"/>
        </w:rPr>
      </w:pPr>
      <w:r>
        <w:rPr>
          <w:b/>
          <w:bCs/>
          <w:lang w:val="el" w:eastAsia="el"/>
        </w:rPr>
        <w:t>-</w:t>
      </w:r>
      <w:r>
        <w:rPr>
          <w:b/>
          <w:bCs/>
          <w:lang w:val="en" w:eastAsia="en"/>
        </w:rPr>
        <w:tab/>
      </w:r>
      <w:r>
        <w:rPr>
          <w:b/>
          <w:bCs/>
          <w:lang w:val="el" w:eastAsia="el"/>
        </w:rPr>
        <w:t>ΤΜΗΜΑ Γ΄</w:t>
      </w:r>
    </w:p>
    <w:p>
      <w:pPr>
        <w:spacing w:before="240" w:after="240"/>
        <w:rPr>
          <w:lang w:val="el" w:eastAsia="el"/>
        </w:rPr>
      </w:pPr>
      <w:r>
        <w:rPr>
          <w:b/>
          <w:bCs/>
          <w:lang w:val="el" w:eastAsia="el"/>
        </w:rPr>
        <w:t>ΙΙ. Δ/ΝΣΗ ΕΠΙΧΕΙΡΗΣΙΑΚΩΝ ΔΙΑΔΙΚΑΣΙΩΝ</w:t>
      </w:r>
    </w:p>
    <w:p>
      <w:pPr>
        <w:pStyle w:val="StructureList1"/>
        <w:spacing w:before="120" w:after="0"/>
        <w:rPr>
          <w:lang w:val="el" w:eastAsia="el"/>
        </w:rPr>
      </w:pPr>
      <w:r>
        <w:rPr>
          <w:b/>
          <w:bCs/>
          <w:lang w:val="el" w:eastAsia="el"/>
        </w:rPr>
        <w:t>-</w:t>
      </w:r>
      <w:r>
        <w:rPr>
          <w:b/>
          <w:bCs/>
          <w:lang w:val="en" w:eastAsia="en"/>
        </w:rPr>
        <w:tab/>
      </w:r>
      <w:r>
        <w:rPr>
          <w:b/>
          <w:bCs/>
          <w:lang w:val="el" w:eastAsia="el"/>
        </w:rPr>
        <w:t>ΤΜΗΜΑTA Α &amp; Β΄</w:t>
      </w:r>
    </w:p>
    <w:p>
      <w:pPr>
        <w:spacing w:before="240" w:after="240"/>
        <w:rPr>
          <w:lang w:val="el" w:eastAsia="el"/>
        </w:rPr>
      </w:pPr>
      <w:r>
        <w:rPr>
          <w:b/>
          <w:bCs/>
          <w:lang w:val="el" w:eastAsia="el"/>
        </w:rPr>
        <w:t>III. Δ/ΝΣΗ ΔΙΑΧΕΙΡΙΣΗΣ ΥΠΟΔΟΜΩΝ</w:t>
      </w:r>
    </w:p>
    <w:p>
      <w:pPr>
        <w:pStyle w:val="StructureList1"/>
        <w:spacing w:before="120" w:after="0"/>
        <w:rPr>
          <w:lang w:val="el" w:eastAsia="el"/>
        </w:rPr>
      </w:pPr>
      <w:r>
        <w:rPr>
          <w:b/>
          <w:bCs/>
          <w:lang w:val="el" w:eastAsia="el"/>
        </w:rPr>
        <w:t>-</w:t>
      </w:r>
      <w:r>
        <w:rPr>
          <w:b/>
          <w:bCs/>
          <w:lang w:val="en" w:eastAsia="en"/>
        </w:rPr>
        <w:tab/>
      </w:r>
      <w:r>
        <w:rPr>
          <w:b/>
          <w:bCs/>
          <w:lang w:val="el" w:eastAsia="el"/>
        </w:rPr>
        <w:t>ΤΜΗΜΑ Ε΄</w:t>
      </w:r>
    </w:p>
    <w:p>
      <w:pPr>
        <w:spacing w:before="240" w:after="240"/>
        <w:rPr>
          <w:lang w:val="el" w:eastAsia="el"/>
        </w:rPr>
      </w:pPr>
      <w:r>
        <w:rPr>
          <w:b/>
          <w:bCs/>
          <w:lang w:val="el" w:eastAsia="el"/>
        </w:rPr>
        <w:t>Ταχ. Δ/νση Ταχ. Κώδικας Τηλέφωνο</w:t>
      </w:r>
    </w:p>
    <w:p>
      <w:pPr>
        <w:spacing w:before="240" w:after="240"/>
        <w:rPr>
          <w:lang w:val="el" w:eastAsia="el"/>
        </w:rPr>
      </w:pPr>
      <w:r>
        <w:rPr>
          <w:b/>
          <w:bCs/>
          <w:lang w:val="el" w:eastAsia="el"/>
        </w:rPr>
        <w:t>Url</w:t>
      </w:r>
    </w:p>
    <w:p>
      <w:pPr>
        <w:spacing w:before="240" w:after="240"/>
        <w:rPr>
          <w:lang w:val="el" w:eastAsia="el"/>
        </w:rPr>
      </w:pPr>
      <w:r>
        <w:rPr>
          <w:b/>
          <w:bCs/>
          <w:lang w:val="el" w:eastAsia="el"/>
        </w:rPr>
        <w:t>: Χανδρή 1 &amp; Θεσσαλονίκης</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210 4802251</w:t>
      </w:r>
    </w:p>
    <w:p>
      <w:pPr>
        <w:spacing w:before="240" w:after="240"/>
        <w:rPr>
          <w:lang w:val="el" w:eastAsia="el"/>
        </w:rPr>
      </w:pPr>
      <w:r>
        <w:rPr>
          <w:b/>
          <w:bCs/>
          <w:lang w:val="el" w:eastAsia="el"/>
        </w:rPr>
        <w:t>:</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«Διαδικασία επιβολής κυρώσεων, σύμφωνα με το άρθρο 54Η του Κώδικα Φορολογικής Διαδικασίας (Κ.Φ.Δ.) και του άρθρου 13 Α του ν.2523/1997, κατά την πρώτη εφαρμογή των διατάξεων αυτών».</w:t>
      </w:r>
    </w:p>
    <w:p>
      <w:pPr>
        <w:spacing w:before="240" w:after="240"/>
        <w:rPr>
          <w:lang w:val="el" w:eastAsia="el"/>
        </w:rPr>
      </w:pPr>
      <w:r>
        <w:rPr>
          <w:b/>
          <w:bCs/>
          <w:lang w:val="el" w:eastAsia="el"/>
        </w:rPr>
        <w:t>KOINH ΑΠΟΦΑΣΗ</w:t>
      </w:r>
    </w:p>
    <w:p>
      <w:pPr>
        <w:spacing w:before="240" w:after="240"/>
        <w:rPr>
          <w:lang w:val="el" w:eastAsia="el"/>
        </w:rPr>
      </w:pPr>
      <w:r>
        <w:rPr>
          <w:b/>
          <w:bCs/>
          <w:lang w:val="el" w:eastAsia="el"/>
        </w:rPr>
        <w:t>Ο ΥΦΥΠΟΥΡΓΟΣ ΟΙΚΟΝΟΜΙΚΩΝ ΚΑΙ 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54Η του Κώδικα Φορολογικής Διαδικασίας (ν.4174/2013, Α’170), όπως αυτό προστέθηκε με την παρ. 1 του άρθρου 173 του ν.4972/2022 (Α’181), σε συνδυασμό με την παρ. 2 του άρθρου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13 Α του ν.2523/1997 «Διοικητικές και ποινικές κυρώσεις στη φορολογική νομοθεσία και άλλες διατάξεις» (Α΄179), σε συνδυασμό με το άρθρο 174 του ν.4972/2022,</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15Α του Κώδικα Φορολογικής Διαδικασίας,</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Α.1138/12.6.2020 κοινής απόφασης του 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 Α του ν.4174/2013 (Κ.Φ.Δ.)» (Β΄2470),</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Α.1171/3.8.2021 απόφασης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 (Β΄3596),</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Α.1166/16.7.2021 κοινής απόφασης του Υφυπουργού Οικονομικών και του Διοικητή της Α.Α.Δ.Ε. «Προσδιορισμός κατηγοριών υπόχρεων για την επιβολή της ειδικής χρηματικής κύρωσης της παρ. 8 του άρθρου 13Α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 (Β’ 3193),</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Α.1169/2021 απόφασης του Διοικητή της Α.Α.Δ.Ε. «Καθορισμός του τρόπου, των διαδικασιών και των οργάνων για την εφαρμογή του άρθρου 13Α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pStyle w:val="StructureList1"/>
        <w:spacing w:before="120" w:after="0"/>
        <w:rPr>
          <w:lang w:val="el" w:eastAsia="el"/>
        </w:rPr>
      </w:pPr>
      <w:r>
        <w:rPr>
          <w:b/>
          <w:bCs/>
          <w:lang w:val="el" w:eastAsia="el"/>
        </w:rPr>
        <w:t>η)</w:t>
      </w:r>
      <w:r>
        <w:rPr>
          <w:b/>
          <w:bCs/>
          <w:lang w:val="en" w:eastAsia="en"/>
        </w:rPr>
        <w:tab/>
      </w:r>
      <w:r>
        <w:rPr>
          <w:b/>
          <w:bCs/>
          <w:lang w:val="el" w:eastAsia="el"/>
        </w:rPr>
        <w:t>των παρ. 9 και 13 του άρθρου 12 του ν. 4308/2014 «Ελληνικά Λογιστικά Πρότυπα, συναφείς ρυθμίσεις και άλλες διατάξεις» (Α΄251),</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38 του ν.2873/2000 « Φορολογικές ελαφρύνσεις και απλουστεύσεις και άλλες διατάξεις» (Α΄285),</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20 του ν. 3842/2010 «Αποκατάσταση φορολογικής δικαιοσύνης, αντιμετώπιση της φοροδιαφυγής και άλλες διατάξεις» (Α΄ 58),</w:t>
      </w:r>
    </w:p>
    <w:p>
      <w:pPr>
        <w:spacing w:before="240" w:after="240"/>
        <w:rPr>
          <w:lang w:val="el" w:eastAsia="el"/>
        </w:rPr>
      </w:pPr>
      <w:r>
        <w:rPr>
          <w:b/>
          <w:bCs/>
          <w:lang w:val="el" w:eastAsia="el"/>
        </w:rPr>
        <w:t xml:space="preserve">2. </w:t>
      </w:r>
      <w:r>
        <w:rPr>
          <w:b/>
          <w:bCs/>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3. </w:t>
      </w:r>
      <w:r>
        <w:rPr>
          <w:b/>
          <w:bCs/>
          <w:lang w:val="el" w:eastAsia="el"/>
        </w:rPr>
        <w:t>Το π.δ. 142/2017 «Οργανισμός Υπουργείου Οικονομικών», (Α΄181).</w:t>
      </w:r>
    </w:p>
    <w:p>
      <w:pPr>
        <w:spacing w:before="240" w:after="240"/>
        <w:rPr>
          <w:lang w:val="el" w:eastAsia="el"/>
        </w:rPr>
      </w:pPr>
      <w:r>
        <w:rPr>
          <w:b/>
          <w:bCs/>
          <w:lang w:val="el" w:eastAsia="el"/>
        </w:rPr>
        <w:t xml:space="preserve">4. </w:t>
      </w:r>
      <w:r>
        <w:rPr>
          <w:b/>
          <w:bCs/>
          <w:lang w:val="el" w:eastAsia="el"/>
        </w:rPr>
        <w:t>Το π.δ. 83/2019 «Διορισμός Αντιπροέδρου Κυβέρνησης, Υπουργών, Αναπληρωτών Υπουργών και Υφυπουργών» (Α΄121).</w:t>
      </w:r>
    </w:p>
    <w:p>
      <w:pPr>
        <w:spacing w:before="240" w:after="240"/>
        <w:rPr>
          <w:lang w:val="el" w:eastAsia="el"/>
        </w:rPr>
      </w:pPr>
      <w:r>
        <w:rPr>
          <w:b/>
          <w:bCs/>
          <w:lang w:val="el" w:eastAsia="el"/>
        </w:rPr>
        <w:t xml:space="preserve">5. </w:t>
      </w:r>
      <w:r>
        <w:rPr>
          <w:b/>
          <w:bCs/>
          <w:lang w:val="el" w:eastAsia="el"/>
        </w:rPr>
        <w:t>Την αριθ. Υ2/9.7.2019 απόφαση του Πρωθυπουργού «Σύσταση θέσεων Αναπληρωτή Υπουργού και Υφυπουργών» (Β΄2901).</w:t>
      </w:r>
    </w:p>
    <w:p>
      <w:pPr>
        <w:spacing w:before="240" w:after="240"/>
        <w:rPr>
          <w:lang w:val="el" w:eastAsia="el"/>
        </w:rPr>
      </w:pPr>
      <w:r>
        <w:rPr>
          <w:b/>
          <w:bCs/>
          <w:lang w:val="el" w:eastAsia="el"/>
        </w:rPr>
        <w:t xml:space="preserve">6. </w:t>
      </w:r>
      <w:r>
        <w:rPr>
          <w:b/>
          <w:bCs/>
          <w:lang w:val="el" w:eastAsia="el"/>
        </w:rPr>
        <w:t>Την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b/>
          <w:bCs/>
          <w:lang w:val="el" w:eastAsia="el"/>
        </w:rPr>
        <w:t xml:space="preserve">7.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το πρώτο εδάφιο της παρ. 10 του άρθρου 41 του ν. 4389/2016, την υπ΄ αρ. 39/3/30.11.2017 (Υ.Ο.Δ.Δ. 689) απόφαση του Συμβουλίου Διοίκησης της Α.Α.Δ.Ε. και την υπό στοιχεία 5294 ΕΞ 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Την ανάγκη παροχής, επιπλέον, πρόσθετου χρόνου για τη διευκόλυνση των φορολογουμένων ως προς την εκπλήρωση της υποχρέωσης ηλεκτρονικής διαβίβασης δεδομένων στην Ανεξάρτητη Αρχή Δημοσίων Εσόδων, που εκδίδονται μέσω φορολογικού ηλεκτρονικού μηχανισμού (ΦΗΜ).</w:t>
      </w:r>
    </w:p>
    <w:p>
      <w:pPr>
        <w:spacing w:before="240" w:after="240"/>
        <w:rPr>
          <w:lang w:val="el" w:eastAsia="el"/>
        </w:rPr>
      </w:pPr>
      <w:r>
        <w:rPr>
          <w:b/>
          <w:bCs/>
          <w:lang w:val="el" w:eastAsia="el"/>
        </w:rPr>
        <w:t xml:space="preserve">9. </w:t>
      </w:r>
      <w:r>
        <w:rPr>
          <w:b/>
          <w:bCs/>
          <w:lang w:val="el" w:eastAsia="el"/>
        </w:rPr>
        <w:t>Το γεγονός ότι, από τις διατάξεις της απόφασης αυτής, δεν προκαλείται δαπάνη σε βάρος του Προϋπολογισμού του Υπουργείου Οικονομικών, καθώς και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Δεν επιβάλλονται οι κυρώσεις του άρθρου 54Η του ΚΦΔ και του άρθρου 13Α του ν. 2523/1997, για μη διαβίβαση στοιχείων εσόδων λιανικής από Φορολογικό Ηλεκτρονικό Μηχανισμό (ΦΗΜ), εφόσον η επιχείρηση δεν εκδίδει στοιχεία λιανικής από τον ΦΗΜ αυτόν.</w:t>
      </w:r>
    </w:p>
    <w:p>
      <w:pPr>
        <w:spacing w:before="240" w:after="240"/>
        <w:rPr>
          <w:lang w:val="el" w:eastAsia="el"/>
        </w:rPr>
      </w:pPr>
      <w:r>
        <w:rPr>
          <w:b/>
          <w:bCs/>
          <w:lang w:val="el" w:eastAsia="el"/>
        </w:rPr>
        <w:t xml:space="preserve">2. </w:t>
      </w:r>
      <w:r>
        <w:rPr>
          <w:b/>
          <w:bCs/>
          <w:lang w:val="el" w:eastAsia="el"/>
        </w:rPr>
        <w:t>Κατά την πρώτη εφαρμογή των διατάξεων του άρθρου 54Η του ΚΦΔ και του άρθρου 13Α του ν. 2523/1997, για μη διαβίβαση στοιχείων εσόδων λιανικής από Φορολογικό Ηλεκτρονικό Μηχανισμό (ΦΗΜ), όσες οντότητες είναι υπόχρεες σε χρήση ΦΗΜ και δεν έχουν διαβιβάσει στοιχεία λιανικής από τις 31.10.2022 έως τις 30.11.2022, λαμβάνουν ειδοποίηση μέσω μηνύματος ηλεκτρονικού ταχυδρομείου και ανάρτησης στην εφαρμογή e- Κοινοποιήσεις της ψηφιακής πύλης myAADE (myaade.gov.gr) περί μη διαβίβασης, αναλυτικά για κάθε ΦΗΜ από τον οποίο δεν έχουν διαβιβαστεί στοιχεία λιανικής. Με το μήνυμα αυτό καλούνται να συμμορφωθούν με τη σχετική υποχρέωσή τους, εντός προθεσμίας δέκα (10) ημερών από την ημέρα της αποστολής του. Σε περίπτωση εμπρόθεσμης συμμόρφωσης με τη σχετική υποχρέωση, δεν επιβάλλονται οι κυρώσεις των ανωτέρω άρθρων για μη διαβίβαση στοιχείων λιανικής από 31.10.2022 μέχρι την εκπνοή της προθεσμίας αυτής. Σε περίπτωση εκπρόθεσμης συμμόρφωσης, επιβάλλονται οι κυρώσεις των ανωτέρω άρθρων μόνο για το διάστημα μετά την εκπνοή της προθεσμίας αυτής και μέχρι την ημερομηνία συμμόρφωσης. Σε περίπτωση μη συμμόρφωσης εντός της ως άνω προθεσμίας, οι κυρώσεις επιβάλλονται για μη διαβίβαση στοιχείων λιανικής από 31.10.2022 και μέχρι το χρόνο διαπίστωσης της μη διαβίβασης.</w:t>
      </w:r>
    </w:p>
    <w:p>
      <w:pPr>
        <w:spacing w:before="240" w:after="240"/>
        <w:rPr>
          <w:lang w:val="el" w:eastAsia="el"/>
        </w:rPr>
      </w:pPr>
      <w:r>
        <w:rPr>
          <w:b/>
          <w:bCs/>
          <w:lang w:val="el" w:eastAsia="el"/>
        </w:rPr>
        <w:t xml:space="preserve">3. </w:t>
      </w:r>
      <w:r>
        <w:rPr>
          <w:b/>
          <w:bCs/>
          <w:lang w:val="el" w:eastAsia="el"/>
        </w:rPr>
        <w:t>Με την επιφύλαξη της προηγούμενης παραγράφου, παραβάσεις μη διαβίβασης που διαπράττονται από 1.12.2022 και μετά επισύρουν τις κυρώσεις του άρθρου 54Η του ΚΦΔ και του άρθρου 13Α του ν. 2523/1997, χωρίς την προηγούμενη αποστολή ειδοποίησης από την ΑΑΔΕ.</w:t>
      </w:r>
    </w:p>
    <w:p>
      <w:pPr>
        <w:spacing w:before="240" w:after="240"/>
        <w:rPr>
          <w:lang w:val="el" w:eastAsia="el"/>
        </w:rPr>
      </w:pPr>
      <w:r>
        <w:rPr>
          <w:b/>
          <w:bCs/>
          <w:lang w:val="el" w:eastAsia="el"/>
        </w:rPr>
        <w:t xml:space="preserve">4. </w:t>
      </w: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 et.gr</w:t>
        </w:r>
      </w:hyperlink>
      <w:r>
        <w:rPr>
          <w:b/>
          <w:bCs/>
          <w:lang w:val="el" w:eastAsia="el"/>
        </w:rPr>
        <w:t>‘’)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w:t>
      </w:r>
    </w:p>
    <w:p>
      <w:pPr>
        <w:spacing w:before="240" w:after="240"/>
        <w:rPr>
          <w:lang w:val="el" w:eastAsia="el"/>
        </w:rPr>
      </w:pPr>
      <w:r>
        <w:rPr>
          <w:b/>
          <w:bCs/>
          <w:lang w:val="el" w:eastAsia="el"/>
        </w:rPr>
        <w:t xml:space="preserve">2. </w:t>
      </w:r>
      <w:r>
        <w:rPr>
          <w:b/>
          <w:bCs/>
          <w:lang w:val="el" w:eastAsia="el"/>
        </w:rPr>
        <w:t>Γραφείο κ. Υφυπουργού</w:t>
      </w:r>
    </w:p>
    <w:p>
      <w:pPr>
        <w:spacing w:before="240" w:after="240"/>
        <w:rPr>
          <w:lang w:val="el" w:eastAsia="el"/>
        </w:rPr>
      </w:pPr>
      <w:r>
        <w:rPr>
          <w:b/>
          <w:bCs/>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Δ/νσεις Κ.Υ. ΣΔΟΕ και ειδικές αποκεντρωμένες υπηρεσίες ΣΔΟΕ</w:t>
      </w:r>
    </w:p>
    <w:p>
      <w:pPr>
        <w:spacing w:before="240" w:after="240"/>
        <w:rPr>
          <w:lang w:val="el" w:eastAsia="el"/>
        </w:rPr>
      </w:pPr>
      <w:r>
        <w:rPr>
          <w:b/>
          <w:bCs/>
          <w:lang w:val="el" w:eastAsia="el"/>
        </w:rPr>
        <w:t xml:space="preserve">6. </w:t>
      </w:r>
      <w:r>
        <w:rPr>
          <w:b/>
          <w:bCs/>
          <w:lang w:val="el" w:eastAsia="el"/>
        </w:rPr>
        <w:t>Αποδέκτες πίνακα Ζ’</w:t>
      </w:r>
    </w:p>
    <w:p>
      <w:pPr>
        <w:spacing w:before="240" w:after="240"/>
        <w:rPr>
          <w:lang w:val="el" w:eastAsia="el"/>
        </w:rPr>
      </w:pPr>
      <w:r>
        <w:rPr>
          <w:b/>
          <w:bCs/>
          <w:lang w:val="el" w:eastAsia="el"/>
        </w:rPr>
        <w:t xml:space="preserve">7. </w:t>
      </w:r>
      <w:r>
        <w:rPr>
          <w:b/>
          <w:bCs/>
          <w:lang w:val="el" w:eastAsia="el"/>
        </w:rPr>
        <w:t>Αποδέκτες πίνακα Η’</w:t>
      </w:r>
    </w:p>
    <w:p>
      <w:pPr>
        <w:spacing w:before="240" w:after="240"/>
        <w:rPr>
          <w:lang w:val="el" w:eastAsia="el"/>
        </w:rPr>
      </w:pPr>
      <w:r>
        <w:rPr>
          <w:b/>
          <w:bCs/>
          <w:lang w:val="el" w:eastAsia="el"/>
        </w:rPr>
        <w:t xml:space="preserve">8. </w:t>
      </w:r>
      <w:r>
        <w:rPr>
          <w:b/>
          <w:bCs/>
          <w:lang w:val="el" w:eastAsia="el"/>
        </w:rPr>
        <w:t>Αποδέκτες πίνακα ΙΑ’εκτός από τα υποθηκοφυλάκεια</w:t>
      </w:r>
    </w:p>
    <w:p>
      <w:pPr>
        <w:spacing w:before="240" w:after="240"/>
        <w:rPr>
          <w:lang w:val="el" w:eastAsia="el"/>
        </w:rPr>
      </w:pPr>
      <w:r>
        <w:rPr>
          <w:b/>
          <w:bCs/>
          <w:lang w:val="el" w:eastAsia="el"/>
        </w:rPr>
        <w:t xml:space="preserve">9. </w:t>
      </w:r>
      <w:r>
        <w:rPr>
          <w:b/>
          <w:bCs/>
          <w:lang w:val="el" w:eastAsia="el"/>
        </w:rPr>
        <w:t>Αποδέκτες πίνακα ΙΒ’</w:t>
      </w:r>
    </w:p>
    <w:p>
      <w:pPr>
        <w:spacing w:before="240" w:after="240"/>
        <w:rPr>
          <w:lang w:val="el" w:eastAsia="el"/>
        </w:rPr>
      </w:pPr>
      <w:r>
        <w:rPr>
          <w:b/>
          <w:bCs/>
          <w:lang w:val="el" w:eastAsia="el"/>
        </w:rPr>
        <w:t xml:space="preserve">10. </w:t>
      </w:r>
      <w:r>
        <w:rPr>
          <w:b/>
          <w:bCs/>
          <w:lang w:val="el" w:eastAsia="el"/>
        </w:rPr>
        <w:t>Αποδέκτες πίνακα ΙΓ΄</w:t>
      </w:r>
    </w:p>
    <w:p>
      <w:pPr>
        <w:spacing w:before="240" w:after="240"/>
        <w:rPr>
          <w:lang w:val="el" w:eastAsia="el"/>
        </w:rPr>
      </w:pPr>
      <w:r>
        <w:rPr>
          <w:b/>
          <w:bCs/>
          <w:lang w:val="el" w:eastAsia="el"/>
        </w:rPr>
        <w:t xml:space="preserve">11. </w:t>
      </w:r>
      <w:r>
        <w:rPr>
          <w:b/>
          <w:bCs/>
          <w:lang w:val="el" w:eastAsia="el"/>
        </w:rPr>
        <w:t>Αποδέκτες πίνακα ΙΣΤ’</w:t>
      </w:r>
    </w:p>
    <w:p>
      <w:pPr>
        <w:spacing w:before="240" w:after="240"/>
        <w:rPr>
          <w:lang w:val="el" w:eastAsia="el"/>
        </w:rPr>
      </w:pPr>
      <w:r>
        <w:rPr>
          <w:b/>
          <w:bCs/>
          <w:lang w:val="el" w:eastAsia="el"/>
        </w:rPr>
        <w:t xml:space="preserve">12. </w:t>
      </w:r>
      <w:r>
        <w:rPr>
          <w:b/>
          <w:bCs/>
          <w:lang w:val="el" w:eastAsia="el"/>
        </w:rPr>
        <w:t>Αποδέκτες πίνακα ΙΖ’</w:t>
      </w:r>
    </w:p>
    <w:p>
      <w:pPr>
        <w:spacing w:before="240" w:after="240"/>
        <w:rPr>
          <w:lang w:val="el" w:eastAsia="el"/>
        </w:rPr>
      </w:pPr>
      <w:r>
        <w:rPr>
          <w:b/>
          <w:bCs/>
          <w:lang w:val="el" w:eastAsia="el"/>
        </w:rPr>
        <w:t xml:space="preserve">13. </w:t>
      </w:r>
      <w:r>
        <w:rPr>
          <w:b/>
          <w:bCs/>
          <w:lang w:val="el" w:eastAsia="el"/>
        </w:rPr>
        <w:t>Αποδέκτες πίνακα ΙΗ’</w:t>
      </w:r>
    </w:p>
    <w:p>
      <w:pPr>
        <w:spacing w:before="240" w:after="240"/>
        <w:rPr>
          <w:lang w:val="el" w:eastAsia="el"/>
        </w:rPr>
      </w:pPr>
      <w:r>
        <w:rPr>
          <w:b/>
          <w:bCs/>
          <w:lang w:val="el" w:eastAsia="el"/>
        </w:rPr>
        <w:t xml:space="preserve">14. </w:t>
      </w:r>
      <w:r>
        <w:rPr>
          <w:b/>
          <w:bCs/>
          <w:lang w:val="el" w:eastAsia="el"/>
        </w:rPr>
        <w:t>Αποδέκτες πίνακα ΚΒ’</w:t>
      </w:r>
    </w:p>
    <w:p>
      <w:pPr>
        <w:spacing w:before="240" w:after="240"/>
        <w:rPr>
          <w:lang w:val="el" w:eastAsia="el"/>
        </w:rPr>
      </w:pPr>
      <w:r>
        <w:rPr>
          <w:b/>
          <w:bCs/>
          <w:lang w:val="el" w:eastAsia="el"/>
        </w:rPr>
        <w:t xml:space="preserve">15. </w:t>
      </w:r>
      <w:r>
        <w:rPr>
          <w:b/>
          <w:bCs/>
          <w:lang w:val="el" w:eastAsia="el"/>
        </w:rPr>
        <w:t>Αποδέκτες πίνακα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w:t>
      </w:r>
    </w:p>
    <w:p>
      <w:pPr>
        <w:spacing w:before="240" w:after="240"/>
        <w:rPr>
          <w:lang w:val="el" w:eastAsia="el"/>
        </w:rPr>
      </w:pPr>
      <w:r>
        <w:rPr>
          <w:b/>
          <w:bCs/>
          <w:lang w:val="el" w:eastAsia="el"/>
        </w:rPr>
        <w:t xml:space="preserve">3. </w:t>
      </w:r>
      <w:r>
        <w:rPr>
          <w:b/>
          <w:bCs/>
          <w:lang w:val="el" w:eastAsia="el"/>
        </w:rPr>
        <w:t>Προϊσταμένους των Γενικών Δ/νσεων Ηλεκτρονικής Διακυβέρνησης, Φορολογικής Διοίκησης και Ανθρώπινου Δυναμικού και Οργάνωσης</w:t>
      </w:r>
    </w:p>
    <w:p>
      <w:pPr>
        <w:spacing w:before="240" w:after="240"/>
        <w:rPr>
          <w:lang w:val="el" w:eastAsia="el"/>
        </w:rPr>
      </w:pPr>
      <w:r>
        <w:rPr>
          <w:b/>
          <w:bCs/>
          <w:lang w:val="el" w:eastAsia="el"/>
        </w:rPr>
        <w:t xml:space="preserve">4. </w:t>
      </w:r>
      <w:r>
        <w:rPr>
          <w:b/>
          <w:bCs/>
          <w:lang w:val="el" w:eastAsia="el"/>
        </w:rPr>
        <w:t>Δ/νσεις της Γενικής Δ/νσης Φορολογικής Διοίκησης</w:t>
      </w:r>
    </w:p>
    <w:p>
      <w:pPr>
        <w:spacing w:before="240" w:after="240"/>
        <w:rPr>
          <w:lang w:val="el" w:eastAsia="el"/>
        </w:rPr>
      </w:pPr>
      <w:r>
        <w:rPr>
          <w:b/>
          <w:bCs/>
          <w:lang w:val="el" w:eastAsia="el"/>
        </w:rPr>
        <w:t xml:space="preserve">5. </w:t>
      </w:r>
      <w:r>
        <w:rPr>
          <w:b/>
          <w:bCs/>
          <w:lang w:val="el" w:eastAsia="el"/>
        </w:rPr>
        <w:t>Δ/νσεις της Γενικής Δ/νσης Ηλεκτρονικής Διακυβέρνησης</w:t>
      </w:r>
    </w:p>
    <w:p>
      <w:pPr>
        <w:spacing w:before="240" w:after="240"/>
        <w:rPr>
          <w:lang w:val="el" w:eastAsia="el"/>
        </w:rPr>
      </w:pPr>
      <w:r>
        <w:rPr>
          <w:b/>
          <w:bCs/>
          <w:lang w:val="el" w:eastAsia="el"/>
        </w:rPr>
        <w:t xml:space="preserve">6. </w:t>
      </w:r>
      <w:r>
        <w:rPr>
          <w:b/>
          <w:bCs/>
          <w:lang w:val="el" w:eastAsia="el"/>
        </w:rPr>
        <w:t>Δ/νση Ανάπτυξης Φορολογικών Εφαρμογών –Τμήμα Γ’</w:t>
      </w:r>
    </w:p>
    <w:p>
      <w:pPr>
        <w:spacing w:before="240" w:after="240"/>
        <w:rPr>
          <w:lang w:val="el" w:eastAsia="el"/>
        </w:rPr>
      </w:pPr>
      <w:r>
        <w:rPr>
          <w:b/>
          <w:bCs/>
          <w:lang w:val="el" w:eastAsia="el"/>
        </w:rPr>
        <w:t xml:space="preserve">7. </w:t>
      </w:r>
      <w:r>
        <w:rPr>
          <w:b/>
          <w:bCs/>
          <w:lang w:val="el" w:eastAsia="el"/>
        </w:rPr>
        <w:t>Δ/νση Επιχειρησιακών Διαδικασιών – Τμήμα Β’</w:t>
      </w:r>
    </w:p>
    <w:p>
      <w:pPr>
        <w:spacing w:before="240" w:after="240"/>
        <w:rPr>
          <w:lang w:val="el" w:eastAsia="el"/>
        </w:rPr>
      </w:pPr>
      <w:r>
        <w:rPr>
          <w:b/>
          <w:bCs/>
          <w:lang w:val="el" w:eastAsia="el"/>
        </w:rPr>
        <w:t xml:space="preserve">8. </w:t>
      </w:r>
      <w:r>
        <w:rPr>
          <w:b/>
          <w:bCs/>
          <w:lang w:val="el" w:eastAsia="el"/>
        </w:rPr>
        <w:t>Δ/νση Διαχείρισης Υποδομών - Τμήμα Ε΄</w:t>
      </w:r>
    </w:p>
    <w:p>
      <w:pPr>
        <w:spacing w:before="240" w:after="240"/>
        <w:rPr>
          <w:lang w:val="el" w:eastAsia="el"/>
        </w:rPr>
      </w:pPr>
      <w:r>
        <w:rPr>
          <w:b/>
          <w:bCs/>
          <w:lang w:val="el" w:eastAsia="el"/>
        </w:rPr>
        <w:t xml:space="preserve">9. </w:t>
      </w:r>
      <w:r>
        <w:rPr>
          <w:b/>
          <w:bCs/>
          <w:lang w:val="el" w:eastAsia="el"/>
        </w:rPr>
        <w:t>Διεύθυνση Ελέγχων - Τμήματα Α΄, Θ΄</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