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164552 ΕΞ 2022</w:t>
      </w:r>
    </w:p>
    <w:p>
      <w:pPr>
        <w:pStyle w:val="PreambelText"/>
        <w:spacing w:before="240" w:after="240"/>
        <w:rPr>
          <w:lang w:val="el" w:eastAsia="el"/>
        </w:rPr>
      </w:pPr>
      <w:r>
        <w:rPr>
          <w:b/>
          <w:bCs/>
          <w:lang w:val="el" w:eastAsia="el"/>
        </w:rPr>
        <w:t>Διαδικασία και προϋποθέσεις χορήγησης ενίσχυσης με τη μορφή επιχορήγησης σε επιχειρήσεις που υπέστησαν μεγάλες οικονομικές απώλειες που επιτάθηκαν από τους παγετούς του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σελ.1) και ιδίως τα άρθρα 1, 3 και 5 αυτού και 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Κανονισμό (ΕΕ) αριθ. 1407/2013.</w:t>
      </w:r>
    </w:p>
    <w:p>
      <w:pPr>
        <w:pStyle w:val="PreambelText"/>
        <w:spacing w:before="240" w:after="240"/>
        <w:rPr>
          <w:lang w:val="el" w:eastAsia="el"/>
        </w:rPr>
      </w:pPr>
      <w:r>
        <w:rPr>
          <w:lang w:val="el" w:eastAsia="el"/>
        </w:rPr>
        <w:t>4. Το άρθρο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Την παρ. 4 της υποπαρ. Β.10 της παρ. Β του άρθρου πρώτου του ν. 4152/2013 «Επείγοντα μέτρα εφαρμογής των ν. 4046/2012, ν. 4093/2012 και ν. 4172/2013» (Α’ 107).</w:t>
      </w:r>
    </w:p>
    <w:p>
      <w:pPr>
        <w:pStyle w:val="PreambelText"/>
        <w:spacing w:before="240" w:after="240"/>
        <w:rPr>
          <w:lang w:val="el" w:eastAsia="el"/>
        </w:rPr>
      </w:pPr>
      <w:r>
        <w:rPr>
          <w:lang w:val="el" w:eastAsia="el"/>
        </w:rPr>
        <w:t>7. Τον ν. 4978/2022 «Κύρωση Κώδικα Είσπραξης Δημοσίων Εσόδων» - Κ.Ε.Δ.Ε. (Α’ 190).</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16. Tην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75244ΕΞ2022/31.05.2022 κοινή απόφαση των Υπουργών Οικονομικών και Ανάπτυξης και Επενδύσεων «Διαδικασία υποβολής εκδήλωσης ενδιαφέροντος για τη χορήγησης ενίσχυσης με τη μορφή επιχορήγησης σε επιχειρήσεις που επλήγησαν οικονομικά λόγω της εμφάνισης και διάδοσης της νόσου του κορωνοϊού COVID-19 και υπέστησαν μεγάλες οικονομικές απώλειες που επιτάθηκαν από τους παγετούς του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 (Β’ 2760).</w:t>
      </w:r>
    </w:p>
    <w:p>
      <w:pPr>
        <w:pStyle w:val="PreambelText"/>
        <w:spacing w:before="240" w:after="240"/>
        <w:rPr>
          <w:lang w:val="el" w:eastAsia="el"/>
        </w:rPr>
      </w:pPr>
      <w:r>
        <w:rPr>
          <w:lang w:val="el" w:eastAsia="el"/>
        </w:rPr>
        <w:t>21. Την υπό στοιχεία 59886/ΕΥΚΕ913/11.6.2020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22.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23. Την υπ’ αρ. 109/12.03.2019 πράξη του Διοικητή της Τράπεζας της Ελλάδος.</w:t>
      </w:r>
    </w:p>
    <w:p>
      <w:pPr>
        <w:pStyle w:val="PreambelText"/>
        <w:spacing w:before="240" w:after="240"/>
        <w:rPr>
          <w:lang w:val="el" w:eastAsia="el"/>
        </w:rPr>
      </w:pPr>
      <w:r>
        <w:rPr>
          <w:lang w:val="el" w:eastAsia="el"/>
        </w:rPr>
        <w:t>24. Το υπ’ αρ. 305/07.04.2022 έγγραφο του Οργανισμού Ελληνικών Γεωργικών Ασφαλίσεων.</w:t>
      </w:r>
    </w:p>
    <w:p>
      <w:pPr>
        <w:pStyle w:val="PreambelText"/>
        <w:spacing w:before="240" w:after="240"/>
        <w:rPr>
          <w:lang w:val="el" w:eastAsia="el"/>
        </w:rPr>
      </w:pPr>
      <w:r>
        <w:rPr>
          <w:lang w:val="el" w:eastAsia="el"/>
        </w:rPr>
        <w:t>25. Την ανάγκη στήριξης των επιχειρήσεων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τους παγετούς που εκδηλώθηκαν την περίοδο 15 Φεβρουαρίου έως 20 Απριλίου 2021,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w:t>
      </w:r>
    </w:p>
    <w:p>
      <w:pPr>
        <w:pStyle w:val="PreambelText"/>
        <w:spacing w:before="240" w:after="240"/>
        <w:rPr>
          <w:lang w:val="el" w:eastAsia="el"/>
        </w:rPr>
      </w:pPr>
      <w:r>
        <w:rPr>
          <w:lang w:val="el" w:eastAsia="el"/>
        </w:rPr>
        <w:t>26. Την από 03.11.2022 εισήγηση του Διοικητή της Ανεξάρτητης Αρχής Δημοσίων Εσόδων.</w:t>
      </w:r>
    </w:p>
    <w:p>
      <w:pPr>
        <w:pStyle w:val="PreambelText"/>
        <w:spacing w:before="240" w:after="240"/>
        <w:rPr>
          <w:lang w:val="el" w:eastAsia="el"/>
        </w:rPr>
      </w:pPr>
      <w:r>
        <w:rPr>
          <w:lang w:val="el" w:eastAsia="el"/>
        </w:rPr>
        <w:t>27. Την από 29.03.2022 εισήγηση της Κυβερνητικής Επιτροπής Κρατικής Αρωγής.</w:t>
      </w:r>
    </w:p>
    <w:p>
      <w:pPr>
        <w:pStyle w:val="PreambelText"/>
        <w:spacing w:before="240" w:after="240"/>
        <w:rPr>
          <w:lang w:val="el" w:eastAsia="el"/>
        </w:rPr>
      </w:pPr>
      <w:r>
        <w:rPr>
          <w:lang w:val="el" w:eastAsia="el"/>
        </w:rPr>
        <w:t>28. Το από 26.10.2022 ηλεκτρονικό μήνυμα της Κεντρικής Μονάδας Κρατικών Ενισχύσεων και το από 25.10.2022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29. Την υπό στοιχεία 2/177467/ΔΠΓΚ/25.10.2022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30. Το γεγονός ότι από τις διατάξεις της παρούσας απόφασης προκαλείται δαπάνη συνολικού ύψους οχτώ εκατομμυρίων (8.000.000) ευρώ σε βάρος του οικονομικού έτους 2022. Η δαπάνη αυτή θα καλυφθεί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προς τον ΑΛΕ 2310988899 «Λοιπές μεταβιβάσεις σε νομικά πρόσωπα, φυσικά πρόσωπα και φορείς χωρίς νομική προσωπικότητα», από τον οποίο θα διενεργηθούν οι σχετικές πληρωμές. Επιπρόσθετα, προκαλείται δαπάνη η οποία αφορά στα συναφή τραπεζικά έξοδα και θα εξυπηρετηθεί από τις εγγεγραμμένες πιστώσεις του ΑΛΕ 2420913001 «Λοιπές αμοιβές για τραπεζικές υπηρεσίες» του προαναφερόμενου ειδικού φορέα,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επιχορήγησης για επιχειρήσεις που επλήγησαν οικονομικά λόγω της εμφάνισης και διάδοσης της νόσου του κορωνοϊού COVID-19 (COVID-19)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 και έχουν υποστεί μεγάλες οικονομικές απώλειες οι οποίες επιτάθηκαν από τους παγετούς που εκδηλώθηκαν την περίοδο 15 Φεβρουαρίου έως 20 Απριλίου 2021.</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σύμφωνα με τους όρους του υπ’ αρ. 1407/2013 Κανονισμού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MainText"/>
        <w:spacing w:before="120" w:after="0"/>
        <w:rPr>
          <w:lang w:val="el" w:eastAsia="el"/>
        </w:rPr>
      </w:pPr>
      <w:r>
        <w:rPr>
          <w:b/>
          <w:bCs/>
          <w:lang w:val="el" w:eastAsia="el"/>
        </w:rPr>
        <w:t>3.</w:t>
      </w:r>
      <w:r>
        <w:rPr>
          <w:lang w:val="el" w:eastAsia="el"/>
        </w:rPr>
        <w:t xml:space="preserve"> Η ενίσχυση με τη μορφή επιχορήγησης είναι αφορολόγητη, ανεκχώρητη και ακατάσχετη στα χέρια του Δημοσίου ή τρίτων, κατά παρέκκλιση κάθε γενικής και ειδικής διάταξης, μη εφαρμοζόμενης της παρ. 1 του άρθρου 47 του ν. 4172/2013 (Α’ 167) σε περίπτωση διανομής ή κεφαλαιοποίησής της, δεν υπόκειται σε οποιαδήποτε κράτηση, τέλος ή εισφορά, συμπεριλαμβανομένης και της ειδικής εισφοράς αλληλεγγύης του άρθρου 43 Α του ν. 4172/2013,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Ενιαία επιχείρηση: ειδικά για τους σκοπούς του ελέγχου της σώρευσης του άρθρου 5, ενιαία επιχείρηση νοείται ως αυτή ορίζεται στην παρ. 2 του άρθρου 2 του ΕΚ 1407/2013, και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2.</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(ΕΕ) αριθ. 1388/2014 της Επιτροπής της 16ης Δεκεμβρίου 2014,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3.</w:t>
      </w:r>
      <w:r>
        <w:rPr>
          <w:lang w:val="el" w:eastAsia="el"/>
        </w:rPr>
        <w:t xml:space="preserve"> Τομείς αλιείας και υδατοκαλλιέργειας: οι τομείς που εμπίπτουν στον Κανονισμό (ΕΕ) αριθ. 1379/2013 της Επιτροπής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(EE L354/1 της 28.12.2013), και οι οποίοι αντιστοιχούν στους ΚΑΔ του Παραρτήματος ΙΙ το οποίο και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5.</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6.</w:t>
      </w:r>
      <w:r>
        <w:rPr>
          <w:lang w:val="el" w:eastAsia="el"/>
        </w:rPr>
        <w:t xml:space="preserve"> Αποτελέσματα προ φόρων: Αποτελέσματα προ φόρων 2021 είναι τα αποτελέσματα προ φόρων, όπως προκύπτουν από την κατάσταση οικονομικών στοιχείων από επιχειρηματική δραστηριότητα (κωδικός 529 του εντύπου Ε3) για το φορολογικό έτος 2021. Αποτελέσματα προ φόρων 2020 είναι τα αποτελέσματα προ φόρων, όπως προκύπτουν από την κατάσταση οικονομικών στοιχείων από επιχειρηματική δραστηριότητα (κωδικός 529 του εντύπου Ε3) για το φορολογικό έτος 2020.</w:t>
      </w:r>
    </w:p>
    <w:p>
      <w:pPr>
        <w:pStyle w:val="MainText"/>
        <w:spacing w:before="120" w:after="0"/>
        <w:rPr>
          <w:lang w:val="el" w:eastAsia="el"/>
        </w:rPr>
      </w:pPr>
      <w:r>
        <w:rPr>
          <w:b/>
          <w:bCs/>
          <w:lang w:val="el" w:eastAsia="el"/>
        </w:rPr>
        <w:t>7.</w:t>
      </w:r>
      <w:r>
        <w:rPr>
          <w:lang w:val="el" w:eastAsia="el"/>
        </w:rPr>
        <w:t xml:space="preserve"> Αποτελέσματα προ φόρων αναφοράς: Τα αποτελέσματα προ φόρων 2020, όπως προκύπτουν από την κατάσταση οικονομικών στοιχείων από επιχειρηματική δραστηριότητα (κωδικός 529 του εντύπου Ε3) για το φορολογικό έτος 2020. Σε περίπτωση που τα αποτελέσματα προ φόρων 2020, είναι μικρότερα των αποτελεσμάτων προ φόρων 2019, ως αποτελέσματα προ φόρων αναφοράς, λαμβάνονται τα αποτελέσματα προ φόρων 2019, όπως προκύπτουν από την κατάσταση οικονομικών στοιχείων από επιχειρηματική δραστηριότητα (κωδικός 529 του εντύπου Ε3) για το φορολογικό έτος 2019.</w:t>
      </w:r>
    </w:p>
    <w:p>
      <w:pPr>
        <w:spacing w:before="240" w:after="240"/>
        <w:rPr>
          <w:lang w:val="el" w:eastAsia="el"/>
        </w:rPr>
      </w:pPr>
      <w:r>
        <w:rPr>
          <w:lang w:val="el" w:eastAsia="el"/>
        </w:rPr>
        <w:t>Ειδικά για επιχειρήσεις που τηρούν διαχειριστική χρήση διαφορετική από τη διαχειριστική χρήση που λήγει την 31η Δεκεμβρίου και δεν έχουν υποβάλει δήλωση φόρου εισοδήματος νομικών προσώπων ή νομικών οντοτήτων ή την κατάσταση οικονομικών στοιχείων από επιχειρηματική δραστηριότητα (έντυπο Ε3) για το φορολογικό έτος 2021, ως αποτελέσματα προ φόρων αναφοράς ορίζονται τα αποτελέσματα προ φόρων 2019, όπως προκύπτουν από την κατάσταση οικονομικών στοιχείων από επιχειρηματική δραστηριότητα (κωδικός 529 του εντύπου Ε3) για το φορολογικό έτος 2019. Σε περίπτωση που τα αποτελέσματα προ φόρων 2019, είναι μικρότερα των αποτελεσμάτων προ φόρων</w:t>
      </w:r>
    </w:p>
    <w:p>
      <w:pPr>
        <w:spacing w:before="240" w:after="240"/>
        <w:rPr>
          <w:lang w:val="el" w:eastAsia="el"/>
        </w:rPr>
      </w:pPr>
      <w:r>
        <w:rPr>
          <w:lang w:val="el" w:eastAsia="el"/>
        </w:rPr>
        <w:t>2018, ως αποτελέσματα προ φόρων αναφοράς, λαμβάνονται τα αποτελέσματα προ φόρων 2018, όπως προκύπτουν από την κατάσταση οικονομικών στοιχείων από επιχειρηματική δραστηριότητα (κωδικός 529 του εντύπου Ε3) για το φορολογικό έτος 2018.</w:t>
      </w:r>
    </w:p>
    <w:p>
      <w:pPr>
        <w:pStyle w:val="MainText"/>
        <w:spacing w:before="120" w:after="0"/>
        <w:rPr>
          <w:lang w:val="el" w:eastAsia="el"/>
        </w:rPr>
      </w:pPr>
      <w:r>
        <w:rPr>
          <w:b/>
          <w:bCs/>
          <w:lang w:val="el" w:eastAsia="el"/>
        </w:rPr>
        <w:t>8.</w:t>
      </w:r>
      <w:r>
        <w:rPr>
          <w:lang w:val="el" w:eastAsia="el"/>
        </w:rPr>
        <w:t xml:space="preserve"> Ακαθάριστα έσοδα: Ακαθάριστα έσοδα έτους 2021 είναι το σύνολο πωλήσεων αγαθών και παροχής υπηρεσιών, όπως αυτά προκύπτουν από την κατάσταση οικονομικών στοιχείων από επιχειρηματική δραστηριότητα («έντυπο Ε3») για το φορολογικό έτος 2021 (κωδικός 500 του εντύπου Ε3). Ακαθάριστα έσοδα έτους 2020 είναι το σύνολο πωλήσεων αγαθών και παροχής υπηρεσιών, όπως αυτά προκύπτουν από την κατάσταση οικονομικών στοιχείων από επιχειρηματική δραστηριότητα («έντυπο Ε3») για το φορολογικό έτος 2020 (κωδικός 500 του εντύπου Ε3).</w:t>
      </w:r>
    </w:p>
    <w:p>
      <w:pPr>
        <w:pStyle w:val="MainText"/>
        <w:spacing w:before="120" w:after="0"/>
        <w:rPr>
          <w:lang w:val="el" w:eastAsia="el"/>
        </w:rPr>
      </w:pPr>
      <w:r>
        <w:rPr>
          <w:b/>
          <w:bCs/>
          <w:lang w:val="el" w:eastAsia="el"/>
        </w:rPr>
        <w:t>9.</w:t>
      </w:r>
      <w:r>
        <w:rPr>
          <w:lang w:val="el" w:eastAsia="el"/>
        </w:rPr>
        <w:t xml:space="preserve"> Ακαθάριστα έσοδα αναφοράς: Tα ακαθάριστα έσοδα του 2020 (σύνολο πωλήσεων αγαθών και παροχής υπηρεσιών), όπως αυτά προκύπτουν από την κατάσταση οικονομικών στοιχείων από επιχειρηματική δραστηριότητα (κωδικός 500 του εντύπου Ε3) για το φορολογικό έτος 2020. Σε περίπτωση που τα ακαθάριστα έσοδα του 2020, είναι μικρότερα των ακαθάριστων εσόδων του 2019, ως ακαθάριστα έσοδα αναφοράς, λαμβάνονται τα ακαθάριστα έσοδα του 2019, όπως προκύπτουν από την κατάσταση οικονομικών στοιχείων από επιχειρηματική δραστηριότητα (κωδικός 500 του εντύπου Ε3) για το φορολογικό έτος 2019.</w:t>
      </w:r>
    </w:p>
    <w:p>
      <w:pPr>
        <w:spacing w:before="240" w:after="240"/>
        <w:rPr>
          <w:lang w:val="el" w:eastAsia="el"/>
        </w:rPr>
      </w:pPr>
      <w:r>
        <w:rPr>
          <w:lang w:val="el" w:eastAsia="el"/>
        </w:rPr>
        <w:t>Ειδικά για επιχειρήσεις που τηρούν διαχειριστική χρήση διαφορετική από τη διαχειριστική χρήση που λήγει την 31η Δεκεμβρίου και δεν έχουν υποβάλει δήλωση φόρου εισοδήματος νομικών προσώπων ή νομικών οντοτήτων ή την κατάσταση οικονομικών στοιχείων από επιχειρηματική δραστηριότητα (έντυπο Ε3) για το φορολογικό έτος 2021, ως ακαθάριστα έσοδα αναφοράς ορίζονται τα ακαθάριστα έσοδα του 2019 (σύνολο πωλήσεων αγαθών και παροχής υπηρεσιών), όπως αυτά προκύπτουν από την κατάσταση οικονομικών στοιχείων από επιχειρηματική δραστηριότητα (κωδικός 500 του εντύπου Ε3) για το φορολογικό έτος 2019. Σε περίπτωση που τα ακαθάριστα έσοδα του 2019, είναι μικρότερα των ακαθάριστων εσόδων του 2018, ως ακαθάριστα έσοδα αναφοράς, λαμβάνονται τα ακαθάριστα έσοδα του 2018, όπως προκύπτουν από την κατάσταση οικονομικών στοιχείων από επιχειρηματική δραστηριότητα (κωδικός 500 του εντύπου Ε3) για το φορολογικό έτος 2018.</w:t>
      </w:r>
    </w:p>
    <w:p>
      <w:pPr>
        <w:pStyle w:val="MainText"/>
        <w:spacing w:before="120" w:after="0"/>
        <w:rPr>
          <w:lang w:val="el" w:eastAsia="el"/>
        </w:rPr>
      </w:pPr>
      <w:r>
        <w:rPr>
          <w:b/>
          <w:bCs/>
          <w:lang w:val="el" w:eastAsia="el"/>
        </w:rPr>
        <w:t>10.</w:t>
      </w:r>
      <w:r>
        <w:rPr>
          <w:lang w:val="el" w:eastAsia="el"/>
        </w:rPr>
        <w:t xml:space="preserve"> Για τους σκοπούς εφαρμογής της παρούσας απόφασης, λαμβάνονται τα οικονομικά δεδομένα που έχουν υποβληθεί με την κατάσταση οικονομικών στοιχείων από επιχειρηματική δραστηριότητα (έντυπο Ε3) στις δηλώσεις φορολογίας εισοδήματος των φορολογικών ετών 2018, 2019 και 2020 και την κατάσταση οικονομικών στοιχείων από επιχειρηματική δραστηριότητα (έντυπο Ε3) του έτους φορολογικού έτους 2021, εντός των προθεσμιών της περ. ε της παρ. 2 του άρθρου 3. Εφόσον έχει υποβληθεί η δήλωση φορολογίας εισοδήματος για το φορολογικό έτος 2021 λαμβάνονται τα οικονομικά δεδομένα που έχουν υποβληθεί με την κατάσταση οικονομικών στοιχείων από επιχειρηματική δραστηριότητα (έντυπο Ε3) στη δήλωση φορολογίας εισοδήματος φορολογικού έτους 2021.</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 λήπτες της ενίσχυσης είναι ιδιωτικές επιχειρήσεις κάθε νομικής μορφής, συμπεριλαμβανομένων των ατομικών, οι οποίες είναι υποκείμενες σε Φ.Π.Α. κατά την 31η Δεκεμβρίου 2021, οι οποίες έχουν την έδρα τους ή υποκατάστημα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 και λειτουργούν νομίμως, και πληρούν σωρευτικά τα κριτήρια της επόμενης παραγράφου,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Απριλίου 2021, σύμφωνα με τα στοιχεία του συστήματος «ΕΡΓΑΝΗ»,</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1η Οκτωβρίου 2020.</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στις Περιφερειακές Ενότητες Ημαθίας και Πέλλας της Περιφέρειας Κεντρικής Μακεδονίας, στις Περιφερειακές Ενότητες Κοζάνης, Καστοριάς και Φλώρινας της Περιφέρειας Δυτικής Μακεδονίας και στην Περιφερειακή Ενότητα Λάρισας της Περιφέρειας Θεσσαλίας, λειτουργούσαν νομίμως κατά την 1η Απριλίου 2021 και έχουν πληγεί οικονομικά λόγω της εμφάνισης και διάδοσης του COVID-19 και έχουν υποβάλει εκδήλωση ενδιαφέροντος στην πλατφόρμα «myBusinessSupport», σύμφωνα με την υπό στοιχεία 75244ΕΞ2022/31.05.2022 απόφαση των Υπουργών Οικονομικών και Ανάπτυξης και Επενδύσεων (Β’ 2760).</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Αριθμό Δραστηριότητας (ΚΑΔ) κατά την 31η Δεκεμβρίου 2021 έναν από τους περιγραφόμενους στο Παράρτημα ΙΙΙ, το οποίο και αποτελεί αναπόσπαστο μέρος της παρούσας, ή των οποίων τα ακαθάριστα έσοδα ενεργού κατά την 31η Δεκεμβρίου 2021 ΚΑΔ δευτερεύουσας δραστηριότητας από τους περιγραφόμενους στο Παράρτημα IΙΙ, όπως αυτά προκύπτουν από την κατάσταση οικονομικών στοιχείων από επιχειρηματική δραστηριότητα (έντυπο Ε3) για το φορολογικό έτος 2021, είναι μεγαλύτερα από τα ακαθάριστα έσοδα που αντιστοιχούν στον κύριο ΚΑΔ κατά την 31η Δεκεμβρίου 2021.</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έχουν ενεργό κύριο Κωδικό Αριθμό Δραστηριότητας (ΚΑΔ) κατά την 30ή Ιουνίου 2021 έναν από τους περιγραφόμενους στο Παράρτημα ΙΙΙ, το οποίο και αποτελεί αναπόσπαστο μέρος της παρούσας, ή των οποίων τα ακαθάριστα έσοδα ενεργού κατά την 30η Ιουνίου 2021 ΚΑΔ δευτερεύουσας δραστηριότητας από τους περιγραφόμενους στο Παράρτημα ΙΙΙ, όπως αυτά προκύπτουν από την κατάσταση οικονομικών στοιχείων από επιχειρηματική δραστηριότητα (έντυπο Ε3) για το φορολογικό έτος 2020, είναι μεγαλύτερα από τα ακαθάριστα έσοδα που αντιστοιχούν στον κύριο ΚΑΔ κατά την 30ή Ιουνίου 2021.</w:t>
      </w:r>
    </w:p>
    <w:p>
      <w:pPr>
        <w:pStyle w:val="StructureList1"/>
        <w:spacing w:before="120" w:after="0"/>
        <w:rPr>
          <w:lang w:val="el" w:eastAsia="el"/>
        </w:rPr>
      </w:pPr>
      <w:r>
        <w:rPr>
          <w:lang w:val="el" w:eastAsia="el"/>
        </w:rPr>
        <w:t>γ)</w:t>
      </w:r>
      <w:r>
        <w:rPr>
          <w:lang w:val="en" w:eastAsia="en"/>
        </w:rPr>
        <w:tab/>
      </w:r>
      <w:r>
        <w:rPr>
          <w:lang w:val="el" w:eastAsia="el"/>
        </w:rPr>
        <w:t>Έχουν παραλάβει ή μεταφέρει πυρηνόκαρπα και γιγαρτόκαρπα αγροτικά προϊόντα κατά το έτος 2020 σε ποσοστό μεγαλύτερο του 30% του συνόλου των παραλαβών ή μεταφορών τους και στην περίπτωση επιχειρήσεων υλικών συσκευασίας ότι έχουν πωλήσει υλικά συσκευασίας που προορίζονται για συσκευασία πυρηνόκαρπων και γιγαρτόκαρπων σε ποσοστό μεγαλύτερο του 30% του συνόλου των πωλήσεων υλικών συσκευασίας τους.</w:t>
      </w:r>
    </w:p>
    <w:p>
      <w:pPr>
        <w:pStyle w:val="StructureList1"/>
        <w:spacing w:before="120" w:after="0"/>
        <w:rPr>
          <w:lang w:val="el" w:eastAsia="el"/>
        </w:rPr>
      </w:pPr>
      <w:r>
        <w:rPr>
          <w:lang w:val="el" w:eastAsia="el"/>
        </w:rPr>
        <w:t>δ)</w:t>
      </w:r>
      <w:r>
        <w:rPr>
          <w:lang w:val="en" w:eastAsia="en"/>
        </w:rPr>
        <w:tab/>
      </w:r>
      <w:r>
        <w:rPr>
          <w:lang w:val="el" w:eastAsia="el"/>
        </w:rPr>
        <w:t>Απασχολούσαν κατά την 1η Απριλίου 2021 ή κατά την 31η Αυγούστου 2021 τουλάχιστον δύο (2) άτομα σε καθεστώς πλήρους απασχόλησης ή τέσσερα (4) άτομα σε καθεστώς μερικής απασχόλησης, συμπεριλαμβανομένων και των εποχικών εργαζομένων, σύμφωνα με το σύστημα «ΕΡΓΑΝΗ».»</w:t>
      </w:r>
    </w:p>
    <w:p>
      <w:pPr>
        <w:pStyle w:val="StructureList1"/>
        <w:spacing w:before="120" w:after="0"/>
        <w:rPr>
          <w:lang w:val="el" w:eastAsia="el"/>
        </w:rPr>
      </w:pPr>
      <w:r>
        <w:rPr>
          <w:lang w:val="el" w:eastAsia="el"/>
        </w:rPr>
        <w:t>ε)</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τη δήλωση φορολογίας εισοδήματος για τα φορολογικά έτη 2018, 2019, 2020 έως την προηγούμενη μέρα από την έναρξη ισχύος της υπό στοιχεία 75244ΕΞ2022/31.05.2022 απόφασης των Υπουργών Οικονομικών και Ανάπτυξης και Επενδύσεων (Β’ 2760),</w:t>
      </w:r>
    </w:p>
    <w:p>
      <w:pPr>
        <w:pStyle w:val="StructureList1"/>
        <w:spacing w:before="120" w:after="0"/>
        <w:rPr>
          <w:lang w:val="el" w:eastAsia="el"/>
        </w:rPr>
      </w:pPr>
      <w:r>
        <w:rPr>
          <w:lang w:val="el" w:eastAsia="el"/>
        </w:rPr>
        <w:t>ββ)</w:t>
      </w:r>
      <w:r>
        <w:rPr>
          <w:lang w:val="en" w:eastAsia="en"/>
        </w:rPr>
        <w:tab/>
      </w:r>
      <w:r>
        <w:rPr>
          <w:lang w:val="el" w:eastAsia="el"/>
        </w:rPr>
        <w:t>έχουν οριστικοποιήσει την κατάσταση οικονομικών στοιχείων από επιχειρηματική δραστηριότητα (έντυπο Ε3) για το φορολογικό έτος 2021, ανεξάρτητα από την υποβολή της δήλωσης φορολογίας εισοδήματος φυσικών και νομικών προσώπων ή νομικών οντοτήτων, έως την προθεσμία της παρ. 2 του άρθρου 2 της υπό στοιχεία 75244ΕΞ2022/31.05.2022 απόφασης των Υπουργών Οικονομικών και Ανάπτυξης και Επενδύσεων (Β’ 2760) και το αργότερο ως και την καταληκτική ημερομηνία υποβολής της δήλωσης φορολογίας εισοδήματος φορολογικού έτους 2021, ενώ ειδικά για επιχειρήσεις που τηρούν διαχειριστική χρήση διαφορετική από τη διαχειριστική χρήση που λήγει την 31η Δεκεμβρίου, να έχουν οριστικοποιήσει το έντυπο Ε3 για το φορολογικό έτος 2020, έως την προηγούμενη μέρα από την έναρξη ισχύος της υπό στοιχεία 75244ΕΞ2022/31.05.2022 απόφασης των Υπουργών Οικονομικών και Ανάπτυξης και Επενδύσεων (Β’ 2760),</w:t>
      </w:r>
    </w:p>
    <w:p>
      <w:pPr>
        <w:pStyle w:val="StructureList1"/>
        <w:spacing w:before="120" w:after="0"/>
        <w:rPr>
          <w:lang w:val="el" w:eastAsia="el"/>
        </w:rPr>
      </w:pPr>
      <w:r>
        <w:rPr>
          <w:lang w:val="el" w:eastAsia="el"/>
        </w:rPr>
        <w:t>γγ)</w:t>
      </w:r>
      <w:r>
        <w:rPr>
          <w:lang w:val="en" w:eastAsia="en"/>
        </w:rPr>
        <w:tab/>
      </w:r>
      <w:r>
        <w:rPr>
          <w:lang w:val="el" w:eastAsia="el"/>
        </w:rPr>
        <w:t>έχουν υποβάλει όλες τις δηλώσεις Φ.Π.Α. για την περίοδο από 1η Ιανουαρίου 2018 μέχρι 31η Δεκεμβρίου 2021, έως την προηγούμενη μέρα από την έναρξη ισχύος της υπό στοιχεία 75244ΕΞ2022/31.05.2022 απόφασης των Υπουργών Οικονομικών και Ανάπτυξης και Επενδύσεων (Β’ 2760).</w:t>
      </w:r>
    </w:p>
    <w:p>
      <w:pPr>
        <w:pStyle w:val="StructureList1"/>
        <w:spacing w:before="120" w:after="0"/>
        <w:rPr>
          <w:lang w:val="el" w:eastAsia="el"/>
        </w:rPr>
      </w:pPr>
      <w:r>
        <w:rPr>
          <w:lang w:val="el" w:eastAsia="el"/>
        </w:rPr>
        <w:t>στ)</w:t>
      </w:r>
      <w:r>
        <w:rPr>
          <w:lang w:val="en" w:eastAsia="en"/>
        </w:rPr>
        <w:tab/>
      </w:r>
      <w:r>
        <w:rPr>
          <w:lang w:val="el" w:eastAsia="el"/>
        </w:rPr>
        <w:t>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ζ)</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η)</w:t>
      </w:r>
      <w:r>
        <w:rPr>
          <w:lang w:val="en" w:eastAsia="en"/>
        </w:rPr>
        <w:tab/>
      </w:r>
      <w:r>
        <w:rPr>
          <w:lang w:val="el" w:eastAsia="el"/>
        </w:rPr>
        <w:t>Παρουσιάζουν είτε (α) μείωση των αποτελεσμάτων προ φόρων του έτους 2021 κατά 20% τουλάχιστον σε σχέση με τα αποτελέσματα προ φόρων αναφοράς, όπως ορίζονται στην παρ. 7 του άρθρου 2, είτε (β) μείωση των ακαθάριστων εσόδων του έτους 2021 κατά 20% τουλάχιστον σε σχέση με τα ακαθάριστα έσοδα αναφοράς, όπως ορίζονται στην παρ. 9 του άρθρου 2.</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και δεν έχουν υποβάλει δήλωση φόρου εισοδήματος νομικών προσώπων ή νομικών οντοτήτων ή την κατάσταση οικονομικών στοιχείων από επιχειρηματική δραστηριότητα (έντυπο Ε3) για το φορολογικό έτος 2021, παρουσιάζουν είτε (α) μείωση των αποτελεσμάτων προ φόρων του έτους 2020 κατά 20% τουλάχιστον σε σχέση με τα αποτελέσματα προ φόρων αναφοράς, όπως ορίζονται στην παρ. 7 του άρθρου 2, είτε (β) μείωση των ακαθάριστων εσόδων του έτους 2020 κατά 20% τουλάχιστον σε σχέση με τα ακαθάριστα έσοδα αναφοράς, όπως ορίζονται στην παρ. 9 του άρθρου 2.</w:t>
      </w:r>
    </w:p>
    <w:p>
      <w:pPr>
        <w:spacing w:before="240" w:after="240"/>
        <w:rPr>
          <w:lang w:val="el" w:eastAsia="el"/>
        </w:rPr>
      </w:pPr>
      <w:r>
        <w:rPr>
          <w:lang w:val="el" w:eastAsia="el"/>
        </w:rPr>
        <w:t>Κατά τον ως άνω υπολογισμό διενεργείται στρογγυλοποίηση των ποσοστών μείωσης, στο δεύτερο ποσοστιαίο δεκαδικό ψηφίο.</w:t>
      </w:r>
    </w:p>
    <w:p>
      <w:pPr>
        <w:pStyle w:val="StructureList1"/>
        <w:spacing w:before="120" w:after="0"/>
        <w:rPr>
          <w:lang w:val="el" w:eastAsia="el"/>
        </w:rPr>
      </w:pPr>
      <w:r>
        <w:rPr>
          <w:lang w:val="el" w:eastAsia="el"/>
        </w:rPr>
        <w:t>θ)</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ι)</w:t>
      </w:r>
      <w:r>
        <w:rPr>
          <w:lang w:val="en" w:eastAsia="en"/>
        </w:rPr>
        <w:tab/>
      </w:r>
      <w:r>
        <w:rPr>
          <w:lang w:val="el" w:eastAsia="el"/>
        </w:rPr>
        <w:t>Είναι υπόχρεες σε τήρηση και έκδοση λογιστικών αρχείων.</w:t>
      </w:r>
    </w:p>
    <w:p>
      <w:pPr>
        <w:pStyle w:val="StructureList1"/>
        <w:spacing w:before="120" w:after="0"/>
        <w:rPr>
          <w:lang w:val="el" w:eastAsia="el"/>
        </w:rPr>
      </w:pPr>
      <w:r>
        <w:rPr>
          <w:lang w:val="el" w:eastAsia="el"/>
        </w:rPr>
        <w:t>ια)</w:t>
      </w:r>
      <w:r>
        <w:rPr>
          <w:lang w:val="en" w:eastAsia="en"/>
        </w:rPr>
        <w:tab/>
      </w:r>
      <w:r>
        <w:rPr>
          <w:lang w:val="el" w:eastAsia="el"/>
        </w:rPr>
        <w:t>Δεν δραστηριοποιούνται στους τομείς της πρωτογενούς γεωργικής παραγωγής, της αλιείας ή της υδατοκαλλιέργειας ως ορίζονται στο άρθρο 2 και σε περίπτωση επιχειρήσεων με μικτή δραστηριότητα οι δικαιούχοι διασφαλίζουν με κατάλληλα μέσα, όπως η τήρηση χωριστών λογαριασμών ότι η παρούσα ενίσχυση δεν χρησιμοποιείται για τη μη επιλέξιμη δραστηριότητά 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spacing w:before="240" w:after="240"/>
        <w:rPr>
          <w:lang w:val="el" w:eastAsia="el"/>
        </w:rPr>
      </w:pPr>
      <w:r>
        <w:rPr>
          <w:lang w:val="el" w:eastAsia="el"/>
        </w:rPr>
        <w:t>Ενίσχυση = (Αποτελέσματα προ φόρων αναφοράς - Αποτελέσματα προ φόρων 2021) × 50%, όπου αποτελέσματα προ φόρων 2021 και αποτελέσματα προ φόρων αναφοράς, όπως ορίζονται στην παρούσα απόφαση.</w:t>
      </w:r>
    </w:p>
    <w:p>
      <w:pPr>
        <w:spacing w:before="240" w:after="240"/>
        <w:rPr>
          <w:lang w:val="el" w:eastAsia="el"/>
        </w:rPr>
      </w:pPr>
      <w:r>
        <w:rPr>
          <w:lang w:val="el" w:eastAsia="el"/>
        </w:rPr>
        <w:t>Ειδικά για επιχειρήσεις που τηρούν διαχειριστική χρήση διαφορετική από τη διαχειριστική χρήση που λήγει την 31η Δεκεμβρίου και δεν έχουν υποβάλει δήλωση φόρου εισοδήματος νομικών προσώπων ή νομικών οντοτήτων ή την κατάσταση οικονομικών στοιχείων από επιχειρηματική δραστηριότητα (έντυπο Ε3) για το φορολογικό έτος 2021:</w:t>
      </w:r>
    </w:p>
    <w:p>
      <w:pPr>
        <w:spacing w:before="240" w:after="240"/>
        <w:rPr>
          <w:lang w:val="el" w:eastAsia="el"/>
        </w:rPr>
      </w:pPr>
      <w:r>
        <w:rPr>
          <w:lang w:val="el" w:eastAsia="el"/>
        </w:rPr>
        <w:t>Ενίσχυση = (Αποτελέσματα προ φόρων αναφοράς - Αποτελέσματα προ φόρων 2020) × 50%, όπου αποτελέσματα προ φόρων 2020 και αποτελέσματα προ φόρων αναφοράς, όπως ορίζονται στην παρούσα απόφαση.</w:t>
      </w:r>
    </w:p>
    <w:p>
      <w:pPr>
        <w:pStyle w:val="MainText"/>
        <w:spacing w:before="120" w:after="0"/>
        <w:rPr>
          <w:lang w:val="el" w:eastAsia="el"/>
        </w:rPr>
      </w:pPr>
      <w:r>
        <w:rPr>
          <w:b/>
          <w:bCs/>
          <w:lang w:val="el" w:eastAsia="el"/>
        </w:rPr>
        <w:t>2.</w:t>
      </w:r>
      <w:r>
        <w:rPr>
          <w:lang w:val="el" w:eastAsia="el"/>
        </w:rPr>
        <w:t xml:space="preserve"> Με την επιφύλαξη των προϋποθέσεων του άρθρου 5 της παρούσας, η ενίσχυση που προκύπτει από την παρ. 1 του παρόντος άρθρου δεν δύναται να υπερβαίνει το ποσό των διακοσίων χιλιάδων (200.000) ευρώ ή το ποσό των 100.000 € για επιχειρήσεις που εκτελούν οδικές εμπορευματικές μεταφορές για λογαριασμό τρίτων και δεν μπορεί να υπολείπεται του ποσού των πέντε χιλιάδων (5.000) ευρώ. Σε περίπτωση επιχειρήσεων που τα αποτελέσματα προ φόρων 2021 είναι μεγαλύτερα των αποτελεσμάτων αναφοράς, τότε το ποσό της ενίσχυσης ορίζεται σε ποσό πέντε χιλιάδων (5.000) ευρώ.</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Το συνολικό ποσό ενισχύσεων ήσσονος σημασίας που έχουν λάβει κατά την τελευταία τριετία με βάση οποιοδήποτε Κανονισμό de minimis (EK 1407/2013, 1408/2013, 717/2014) από οποιοδήποτε πρόγραμμα, ελέγχεται σε επίπεδο ενιαίας επιχείρησης, με την έννοια της παρ. 1 του άρθρου 2 της παρούσας, σύμφωνα με τον ορισμό της παρ. 2 του άρθρου 2 του Κανονισμού (ΕΕ) αριθμ. 1407/2013, και δεν δύναται να υπερβεί το ποσό των διακοσίων χιλιάδων (200.000) ευρώ συμπεριλαμβανομένης της αποζημίωσης της παρούσας και στην περίπτωση που η επιχείρηση εκτελεί οδικές εμπορευματικές μεταφορές για λογαριασμό τρίτων το ποσό των εκατό χιλιάδων (100.000) ευρώ. H ενίσχυση της παρούσας δεν επιτρέπεται να χρησιμοποιείται για την απόκτηση οχημάτων οδικών εμπορευματικών μεταφορών.</w:t>
      </w:r>
    </w:p>
    <w:p>
      <w:pPr>
        <w:pStyle w:val="MainText"/>
        <w:spacing w:before="120" w:after="0"/>
        <w:rPr>
          <w:lang w:val="el" w:eastAsia="el"/>
        </w:rPr>
      </w:pPr>
      <w:r>
        <w:rPr>
          <w:b/>
          <w:bCs/>
          <w:lang w:val="el" w:eastAsia="el"/>
        </w:rPr>
        <w:t>2.</w:t>
      </w:r>
      <w:r>
        <w:rPr>
          <w:lang w:val="el" w:eastAsia="el"/>
        </w:rPr>
        <w:t xml:space="preserve"> Σε περίπτωση επιχειρήσεων που ασκούν δραστηριότητες για τις οποίες ισχύουν διαφορετικά ανώτατα όρια de minimis, διασφαλίζουν με κατάλληλα μέσα όπως ο διαχωρισμός των δραστηριοτήτων ή η διάκριση των στοιχείων του κόστους, την τήρηση των εν λόγω ορίων. Τα ανωτέρω ποσά είναι ακαθάριστα, πριν την αφαίρεση τυχόν φόρων ή επιβαρύνσεων.</w:t>
      </w:r>
    </w:p>
    <w:p>
      <w:pPr>
        <w:pStyle w:val="MainText"/>
        <w:spacing w:before="120" w:after="0"/>
        <w:rPr>
          <w:lang w:val="el" w:eastAsia="el"/>
        </w:rPr>
      </w:pPr>
      <w:r>
        <w:rPr>
          <w:b/>
          <w:bCs/>
          <w:lang w:val="el" w:eastAsia="el"/>
        </w:rPr>
        <w:t>3.</w:t>
      </w:r>
      <w:r>
        <w:rPr>
          <w:lang w:val="el" w:eastAsia="el"/>
        </w:rPr>
        <w:t xml:space="preserve"> Για το σκοπό του παρόντος άρθρου κατά την υποβολή της αίτησης η οποία επέχει θέσει υπεύθυνης δήλωσης συμπληρώνονται όλες οι ενισχύσεις ήσσονος σημασίας τις οποίες έλαβε βάσει των Κανονισμών ΕΕ 1407/2013, 1408/2013 και 717/2014 η οικεία επιχείρηση και οι επιχειρήσεις που συνιστούν ενιαία επιχείρηση με αυτήν, κατά την έννοια των ως άνω Κανονισμών, κατά το οικονομικό έτος δημοσίευσης της παρούσας απόφασης και κατά τα δύο προηγούμενα οικονομικά έτη.</w:t>
      </w:r>
    </w:p>
    <w:p>
      <w:pPr>
        <w:pStyle w:val="MainText"/>
        <w:spacing w:before="120" w:after="0"/>
        <w:rPr>
          <w:lang w:val="el" w:eastAsia="el"/>
        </w:rPr>
      </w:pPr>
      <w:r>
        <w:rPr>
          <w:b/>
          <w:bCs/>
          <w:lang w:val="el" w:eastAsia="el"/>
        </w:rPr>
        <w:t>4.</w:t>
      </w:r>
      <w:r>
        <w:rPr>
          <w:lang w:val="el" w:eastAsia="el"/>
        </w:rPr>
        <w:t xml:space="preserve"> Ο έλεγχος της σώρευσης διενεργείται σε πρώτη φάση αυτόματα στην ηλεκτρονική πλατφόρμα myBusinessSuppport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1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5.</w:t>
      </w:r>
      <w:r>
        <w:rPr>
          <w:lang w:val="el" w:eastAsia="el"/>
        </w:rPr>
        <w:t xml:space="preserve"> Επιπλέον, διενεργείται αυτοματοποιημένος απολογιστικός έλεγχος με βάση τα συνολικά στοιχεία για τις ενισχύσεις ήσσονος σημασίας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6.</w:t>
      </w:r>
      <w:r>
        <w:rPr>
          <w:lang w:val="el" w:eastAsia="el"/>
        </w:rPr>
        <w:t xml:space="preserve"> Η Α.Α.Δ.Ε. θέτει στη διάθεση της Γενικής Διεύθυνσης Οικονομικών Υπηρεσιών (Γ.Δ.Ο.Υ.) του Υπουργείου Οικονομικών και της Διεύθυνσης Κρατικής Αρωγής,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της ενίσχυσης στην ηλεκτρονική πλατφόρμα «myBusinessSupport» της Α.Α.Δ.Ε. (</w:t>
      </w:r>
      <w:hyperlink r:id="rId5" w:history="1">
        <w:r>
          <w:rPr>
            <w:rStyle w:val="Hyperlink"/>
            <w:color w:val="0000EE"/>
            <w:u w:color="0000EE"/>
            <w:lang w:val="el" w:eastAsia="el"/>
          </w:rPr>
          <w:t>https://www</w:t>
        </w:r>
      </w:hyperlink>
      <w:r>
        <w:rPr>
          <w:lang w:val="el" w:eastAsia="el"/>
        </w:rPr>
        <w:t>. aade.gr/mybusinesssupport).</w:t>
      </w:r>
    </w:p>
    <w:p>
      <w:pPr>
        <w:pStyle w:val="MainText"/>
        <w:spacing w:before="120" w:after="0"/>
        <w:rPr>
          <w:lang w:val="el" w:eastAsia="el"/>
        </w:rPr>
      </w:pPr>
      <w:r>
        <w:rPr>
          <w:b/>
          <w:bCs/>
          <w:lang w:val="el" w:eastAsia="el"/>
        </w:rPr>
        <w:t>2.</w:t>
      </w:r>
      <w:r>
        <w:rPr>
          <w:lang w:val="el" w:eastAsia="el"/>
        </w:rPr>
        <w:t xml:space="preserve"> Οι αιτήσεις υποβάλλονται έως και την 21η Νοεμβρίου 2022.</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τα απαιτούμενα στοιχεία και πληροφορίες σχετικά με την πλήρωση των προϋποθέσεων της παρούσας, καθώς και το ποσό που αιτείται να λάβει στο πλαίσιο της παρούσας, εντός των ορίων των άρθρων 4 και 5 της παρούσας. Υπόδειγμα της αίτησης - δήλωσης περιλαμβάνεται στο Παράρτημα Ι,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 ΙΒΑΝ από την επιχείρηση στην επιλογή «Μητρώο και επικοινωνία» του myAADE της Α.Α.Δ.Ε.,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καταρχήν έγκριση ή την απόρριψη της αίτησής της. Σε περίπτωση απόρριψης, η αιτούσα επιχείρηση δύναται να υποβάλει στην πλατφόρμα «myBusinessSupport» αίτημα επανεξέτασης, εντός πέντε (5) εργάσιμων ημερών από την ως άνω ενημέρωση. Η Διεύθυνση Κρατικής Αρωγής του Υπουργείου Οικονομικών απαντά στο αίτημα επανεξέτασης, βάσει των στοιχείων και πληροφοριών που αιτείται και λαμβάνει από την Α.Α.Δ.Ε., σύμφωνα με το παρόν άρθρο. Σε περίπτωση καταρχήν έγκρισης, η αιτούσα επιχείρηση ενημερώνεται σχετικά και καλείται να υποβάλει, μέσω της ηλεκτρονικής πλατφόρμας «myBusinessSupport», το δικαιολογητικό που προβλέπεται στην παρ. 1 του άρθρου 9 της παρούσας, σχετικά με την πλήρωση των προϋποθέσεων της περ. γ) της παρ. 2 του άρθρου 3 της παρούσας, προκειμένου να οριστικοποιηθεί η έγκριση της αίτησης.</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επιλογή «Μητρώο και επικοινωνία» του myAADE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δικαιούχων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ενίσχυσης</w:t>
      </w:r>
    </w:p>
    <w:p>
      <w:pPr>
        <w:pStyle w:val="MainText"/>
        <w:spacing w:before="120" w:after="0"/>
        <w:rPr>
          <w:lang w:val="el" w:eastAsia="el"/>
        </w:rPr>
      </w:pPr>
      <w:r>
        <w:rPr>
          <w:b/>
          <w:bCs/>
          <w:lang w:val="el" w:eastAsia="el"/>
        </w:rPr>
        <w:t>1.</w:t>
      </w:r>
      <w:r>
        <w:rPr>
          <w:lang w:val="el" w:eastAsia="el"/>
        </w:rPr>
        <w:t xml:space="preserve"> Η ηλεκτρονική μορφή της αναλυτικής κατάστασης της περ. α της παρ. 3 του άρθρου 7 αποστέλλεται με ασφαλή τρόπο προς τη ΔΙΑΣ Α.Ε. Η ίδια πληροφόρηση κοινοποιείται στη Γ.Δ.Ο.Υ. του Υπουργείου Οικονομικών.</w:t>
      </w:r>
    </w:p>
    <w:p>
      <w:pPr>
        <w:pStyle w:val="MainText"/>
        <w:spacing w:before="120" w:after="0"/>
        <w:rPr>
          <w:lang w:val="el" w:eastAsia="el"/>
        </w:rPr>
      </w:pPr>
      <w:r>
        <w:rPr>
          <w:b/>
          <w:bCs/>
          <w:lang w:val="el" w:eastAsia="el"/>
        </w:rPr>
        <w:t>2.</w:t>
      </w:r>
      <w:r>
        <w:rPr>
          <w:lang w:val="el" w:eastAsia="el"/>
        </w:rPr>
        <w:t xml:space="preserve"> Η συγκεντρωτική κατάσταση της περ. β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 12-3- 2019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για την έκδοση του συμψηφιστικού χρηματικού εντάλματος,</w:t>
      </w:r>
    </w:p>
    <w:p>
      <w:pPr>
        <w:pStyle w:val="StructureList1"/>
        <w:spacing w:before="120" w:after="0"/>
        <w:rPr>
          <w:lang w:val="el" w:eastAsia="el"/>
        </w:rPr>
      </w:pPr>
      <w:r>
        <w:rPr>
          <w:lang w:val="el" w:eastAsia="el"/>
        </w:rPr>
        <w:t>γ)</w:t>
      </w:r>
      <w:r>
        <w:rPr>
          <w:lang w:val="en" w:eastAsia="en"/>
        </w:rPr>
        <w:tab/>
      </w:r>
      <w:r>
        <w:rPr>
          <w:lang w:val="el" w:eastAsia="el"/>
        </w:rPr>
        <w:t>η συγκεντρωτική κατάσταση της περ. β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του παρόντος άρθρου επέχει θέση απόφασης ανάληψης υποχρέωσης.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οι οποίες ενημερώνονται σύμφωνα με την παρ. 1 του άρθρου 7 για την καταρχήν έγκριση της αίτησής τους, οφείλουν να υποβάλουν, μέσω της ηλεκτρονικής πλατφόρμας «myBusinessSupport», εντός εννέα (9) ημερολογιακών ημερών από την ημερομηνία λήξης της προθεσμίας υποβολής των αιτήσεων της παρ. 2 του άρθρου 6, βεβαίωση από ορκωτό λογιστή - ελεγκτή της επιχείρησης ότι η επιχείρηση παρέλαβε ή μετέφερε πυρηνόκαρπα και γιγαρτόκαρπα αγροτικά προϊόντα το έτος 2020 σε ποσοστό μεγαλύτερο του 30% του συνόλου των παραλαβών ή μεταφορών της και στην περίπτωση επιχειρήσεων παραγωγής υλικών συσκευασίας ότι η επιχείρηση πούλησε υλικά συσκευασίας που προορίζονται για συσκευασίας πυρηνόκαρπων και γιγαρτόκαρπων σε ποσοστό μεγαλύτερο του 30% του συνόλου των πωλήσεων υλικών συσκευασίας, προκειμένου να ολοκληρωθεί η καταβολή.</w:t>
      </w:r>
    </w:p>
    <w:p>
      <w:pPr>
        <w:pStyle w:val="MainText"/>
        <w:spacing w:before="120" w:after="0"/>
        <w:rPr>
          <w:lang w:val="el" w:eastAsia="el"/>
        </w:rPr>
      </w:pPr>
      <w:r>
        <w:rPr>
          <w:b/>
          <w:bCs/>
          <w:lang w:val="el" w:eastAsia="el"/>
        </w:rPr>
        <w:t>2.</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3.</w:t>
      </w:r>
      <w:r>
        <w:rPr>
          <w:lang w:val="el" w:eastAsia="el"/>
        </w:rPr>
        <w:t xml:space="preserve"> Σε περίπτωση που οι επιχειρήσεις δραστηριοποιούνται σε περισσότερους του ενός τομείς στους οποίους ισχύουν διαφορετικά ανώτατα όρια ενίσχυσης, σύμφωνα με τους Κανονισμούς (ΕΕ) της Επιτροπής σχετικά με την εφαρμογή των άρθρων 107 και 108 της Συνθήκης για τη λειτουργία της Ευρωπαϊκής Ένωσης στις ενισχύσεις ήσσονος σημασίας («de minimis»), διασφαλίζουν με κατάλληλα μέσα όπως ο λογιστικός διαχωρισμός, ότι για καθεμία από τις δραστηριότητες αυτές τηρείται το σχετικό ανώτατο όριο.</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σύμφωνα με τα άρθρα 4 και 5, ή υποβολή ψευδών στοιχείων, και προκύπτει ότι η επιχείρηση δεν είναι δικαιούχος ή είναι δικαιούχος μικρότερου ποσού από το χορηγηθέν ποσό, ζητείται η άμεση επιστροφή του συνόλου της χορηγηθείσας ενίσχυσης ή του υπερβάλλοντος ποσού της ενίσχυσης κατά περίπτωση, εντόκως από την ημερομηνία που τέθηκε στη διάθεση του δικαιούχου, σύμφωνα με την κείμενη σχετική εθνική και ενωσιακή νομοθεσία. Το σύνολο της χορηγηθείσας ενίσχυσης ή το υπερβάλλον ποσό της ενίσχυσης, κατά περίπτωση, βεβαιώνεται και εισπράττεται κατά τις διατάξεις του ν. 4978/2022 «Κύρωση Κώδικα Είσπραξης Δημοσίων Εσόδων» - Κ.Ε.Δ.Ε. (Α’ 190).</w:t>
      </w:r>
    </w:p>
    <w:p>
      <w:pPr>
        <w:pStyle w:val="MainText"/>
        <w:spacing w:before="120" w:after="0"/>
        <w:rPr>
          <w:lang w:val="el" w:eastAsia="el"/>
        </w:rPr>
      </w:pPr>
      <w:r>
        <w:rPr>
          <w:b/>
          <w:bCs/>
          <w:lang w:val="el" w:eastAsia="el"/>
        </w:rPr>
        <w:t>6.</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7.</w:t>
      </w:r>
      <w:r>
        <w:rPr>
          <w:lang w:val="el" w:eastAsia="el"/>
        </w:rPr>
        <w:t xml:space="preserve"> Σε περίπτωση υπόνοιας καταστρατήγησης των διατάξεων ή υποβολής δηλώσεων με ψευδή ή ανακριβή στοιχεία που τροποποιούν το ύψος των ακαθάριστων εσόδων, του κύκλου εργασιών ή δεν αποτυπώνουν ορθά την κατάσταση λειτουργίας των επιχειρήσεων με σκοπό, είτε την υπαγωγή της αιτούσας στις διατάξεις του άρθρου 21 του ν. 4859/2021 (Α’ 228), είτε τον υπολογισμό μεγαλύτερου ποσού ενίσχυσης, η Α.Α.Δ.Ε. δύναται:</w:t>
      </w:r>
    </w:p>
    <w:p>
      <w:pPr>
        <w:spacing w:before="240" w:after="240"/>
        <w:rPr>
          <w:lang w:val="el" w:eastAsia="el"/>
        </w:rPr>
      </w:pPr>
      <w:r>
        <w:rPr>
          <w:lang w:val="el" w:eastAsia="el"/>
        </w:rPr>
        <w:t>i. να μην εγκρίνει προσωρινά την αίτηση για τη χορήγηση της ενίσχυσης και να ενημερώσει τη Γ.Δ.Ο.Υ. του Υπουργείου Οικονομικών για τις κατά νόμο ενέργειές της, ii. να μην καταβάλει σε λογαριασμούς δικαιούχων ποσά για τα οποία υπάρχουν υπόνοιες καταστρατήγησης των διατάξεων ενημερώνοντας σχετικά τις αρμόδιες υπηρεσίες,</w:t>
      </w:r>
    </w:p>
    <w:p>
      <w:pPr>
        <w:spacing w:before="240" w:after="240"/>
        <w:rPr>
          <w:lang w:val="el" w:eastAsia="el"/>
        </w:rPr>
      </w:pPr>
      <w:r>
        <w:rPr>
          <w:lang w:val="el" w:eastAsia="el"/>
        </w:rPr>
        <w:t>iii. να κοινοποιεί τα ευρήματα στον Εισαγγελέα Οικονομικού Εγκλήματος για την εξακρίβωση πιθανής απόπειρας τέλεσης οικονομικών εγκλημάτων σε βάρος του Ελληνικού Δημοσίου,</w:t>
      </w:r>
    </w:p>
    <w:p>
      <w:pPr>
        <w:spacing w:before="240" w:after="240"/>
        <w:rPr>
          <w:lang w:val="el" w:eastAsia="el"/>
        </w:rPr>
      </w:pPr>
      <w:r>
        <w:rPr>
          <w:lang w:val="el" w:eastAsia="el"/>
        </w:rPr>
        <w:t>iv. να προβαίνει κατά την κρίση της στις δέουσες ενέργειες συμμόρφωσης ή ελέγχου.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ενίσχυσης.</w:t>
      </w:r>
    </w:p>
    <w:p>
      <w:pPr>
        <w:pStyle w:val="MainText"/>
        <w:spacing w:before="120" w:after="0"/>
        <w:rPr>
          <w:lang w:val="el" w:eastAsia="el"/>
        </w:rPr>
      </w:pPr>
      <w:r>
        <w:rPr>
          <w:b/>
          <w:bCs/>
          <w:lang w:val="el" w:eastAsia="el"/>
        </w:rPr>
        <w:t>2.</w:t>
      </w:r>
      <w:r>
        <w:rPr>
          <w:lang w:val="el" w:eastAsia="el"/>
        </w:rPr>
        <w:t xml:space="preserve"> Η Α.Α.Δ.Ε. υποχρεούται να θέτει στη διάθεση της Διεύθυνσης Κρατικής Αρωγής και της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ΠΕΡΙΕΧΟΜΕΝΟ ΑΙΤΗΣΗΣ</w:t>
      </w:r>
    </w:p>
    <w:p>
      <w:pPr>
        <w:spacing w:before="240" w:after="240"/>
        <w:rPr>
          <w:lang w:val="el" w:eastAsia="el"/>
        </w:rPr>
      </w:pPr>
      <w:r>
        <w:rPr>
          <w:lang w:val="el" w:eastAsia="el"/>
        </w:rPr>
        <w:t>με ΑΦΜ</w:t>
      </w:r>
    </w:p>
    <w:p>
      <w:pPr>
        <w:spacing w:before="240" w:after="240"/>
        <w:rPr>
          <w:lang w:val="el" w:eastAsia="el"/>
        </w:rPr>
      </w:pPr>
      <w:r>
        <w:rPr>
          <w:b/>
          <w:bCs/>
          <w:lang w:val="el" w:eastAsia="el"/>
        </w:rPr>
        <w:t>Η επιχείρηση</w:t>
      </w:r>
    </w:p>
    <w:p>
      <w:pPr>
        <w:spacing w:before="240" w:after="240"/>
        <w:rPr>
          <w:lang w:val="el" w:eastAsia="el"/>
        </w:rPr>
      </w:pPr>
      <w:r>
        <w:rPr>
          <w:lang w:val="el" w:eastAsia="el"/>
        </w:rPr>
        <w:t>…..……………..……, την οποία νομίμως εκπροσωπώ, δηλώνει:</w:t>
      </w:r>
    </w:p>
    <w:p>
      <w:pPr>
        <w:pStyle w:val="MainText"/>
        <w:spacing w:before="120" w:after="0"/>
        <w:rPr>
          <w:lang w:val="el" w:eastAsia="el"/>
        </w:rPr>
      </w:pPr>
      <w:r>
        <w:rPr>
          <w:b/>
          <w:bCs/>
          <w:lang w:val="el" w:eastAsia="el"/>
        </w:rPr>
        <w:t>1.</w:t>
      </w:r>
      <w:r>
        <w:rPr>
          <w:lang w:val="el" w:eastAsia="el"/>
        </w:rPr>
        <w:t xml:space="preserve"> Ότι δραστηριοποιείται στον τομέα/στους τομείς:……………………………………………………………….</w:t>
      </w:r>
    </w:p>
    <w:p>
      <w:pPr>
        <w:pStyle w:val="MainText"/>
        <w:spacing w:before="120" w:after="0"/>
        <w:rPr>
          <w:lang w:val="el" w:eastAsia="el"/>
        </w:rPr>
      </w:pPr>
      <w:r>
        <w:rPr>
          <w:b/>
          <w:bCs/>
          <w:lang w:val="el" w:eastAsia="el"/>
        </w:rPr>
        <w:t>2.</w:t>
      </w:r>
      <w:r>
        <w:rPr>
          <w:lang w:val="el" w:eastAsia="el"/>
        </w:rPr>
        <w:t xml:space="preserve"> Όλες τις επιχειρήσεις με τις οποίες συνιστά ενιαία επιχείρηση</w:t>
      </w:r>
      <w:r>
        <w:rPr>
          <w:rStyle w:val="Hyperlink"/>
          <w:color w:val="000000"/>
          <w:sz w:val="20"/>
          <w:szCs w:val="20"/>
          <w:u w:val="none" w:color="0000EE"/>
          <w:vertAlign w:val="superscript"/>
          <w:lang w:val="el" w:eastAsia="el"/>
        </w:rPr>
        <w:footnoteReference w:id="2"/>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Όλες τις ενισχύσεις ήσσονος σημασίας που έχει λάβει σε επίπεδο ενιαίας επιχείρησης κατά την τελευταία τριετία: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
        <w:gridCol w:w="794"/>
        <w:gridCol w:w="794"/>
        <w:gridCol w:w="1057"/>
        <w:gridCol w:w="799"/>
        <w:gridCol w:w="946"/>
        <w:gridCol w:w="793"/>
        <w:gridCol w:w="793"/>
        <w:gridCol w:w="738"/>
        <w:gridCol w:w="885"/>
        <w:gridCol w:w="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w:t>
            </w:r>
          </w:p>
          <w:p>
            <w:pPr>
              <w:spacing w:before="240"/>
              <w:rPr>
                <w:b w:val="0"/>
                <w:bCs w:val="0"/>
                <w:i w:val="0"/>
                <w:iCs w:val="0"/>
                <w:smallCaps w:val="0"/>
                <w:color w:val="000000"/>
                <w:lang w:val="el" w:eastAsia="el"/>
              </w:rPr>
            </w:pPr>
            <w:r>
              <w:rPr>
                <w:b/>
                <w:bCs/>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ΑΡΙΘ.ΠΡΩΤ ΕΓΚΡΙΤΙΚΗΣ</w:t>
            </w:r>
          </w:p>
          <w:p>
            <w:pPr>
              <w:spacing w:before="240"/>
              <w:rPr>
                <w:b w:val="0"/>
                <w:bCs w:val="0"/>
                <w:i w:val="0"/>
                <w:iCs w:val="0"/>
                <w:smallCaps w:val="0"/>
                <w:color w:val="000000"/>
                <w:lang w:val="el" w:eastAsia="el"/>
              </w:rPr>
            </w:pPr>
            <w:r>
              <w:rPr>
                <w:b/>
                <w:bCs/>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w:t>
            </w:r>
          </w:p>
          <w:p>
            <w:pPr>
              <w:spacing w:before="240"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Σημειώνονται τα εξής:</w:t>
      </w:r>
    </w:p>
    <w:p>
      <w:pPr>
        <w:spacing w:before="240" w:after="240"/>
        <w:rPr>
          <w:lang w:val="el" w:eastAsia="el"/>
        </w:rPr>
      </w:pPr>
      <w:r>
        <w:rPr>
          <w:lang w:val="el" w:eastAsia="el"/>
        </w:rPr>
        <w:t xml:space="preserve">• </w:t>
      </w:r>
      <w:r>
        <w:rPr>
          <w:i/>
          <w:iCs/>
          <w:lang w:val="el" w:eastAsia="el"/>
        </w:rPr>
        <w:t>- 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spacing w:before="240" w:after="240"/>
        <w:rPr>
          <w:lang w:val="el" w:eastAsia="el"/>
        </w:rPr>
      </w:pPr>
      <w:r>
        <w:rPr>
          <w:lang w:val="el" w:eastAsia="el"/>
        </w:rPr>
        <w:t xml:space="preserve">• </w:t>
      </w:r>
      <w:r>
        <w:rPr>
          <w:i/>
          <w:i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 xml:space="preserve">• </w:t>
      </w:r>
      <w:r>
        <w:rPr>
          <w:i/>
          <w:iCs/>
          <w:lang w:val="el" w:eastAsia="el"/>
        </w:rPr>
        <w:t>- 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4.</w:t>
      </w:r>
      <w:r>
        <w:rPr>
          <w:lang w:val="el" w:eastAsia="el"/>
        </w:rPr>
        <w:t xml:space="preserve"> Η ενίσχυση ήσσονος σημασίας που πρόκειται να χορηγηθεί στην επιχείρηση βάσει της ΚΥΑ, αφορά δραστηριότητες της επιχείρησης που δεν:</w:t>
      </w:r>
    </w:p>
    <w:p>
      <w:pPr>
        <w:pStyle w:val="StructureList1"/>
        <w:spacing w:before="120" w:after="0"/>
        <w:rPr>
          <w:lang w:val="el" w:eastAsia="el"/>
        </w:rPr>
      </w:pPr>
      <w:r>
        <w:rPr>
          <w:lang w:val="el" w:eastAsia="el"/>
        </w:rPr>
        <w:t>i)</w:t>
      </w:r>
      <w:r>
        <w:rPr>
          <w:lang w:val="en" w:eastAsia="en"/>
        </w:rPr>
        <w:tab/>
      </w:r>
      <w:r>
        <w:rPr>
          <w:lang w:val="el" w:eastAsia="el"/>
        </w:rPr>
        <w:t>εμπίπτουν στους τομείς της αλιείας και της υδατοκαλλιέργειας, που εμπίπτουν στον Κανονισμό (ΕΚ) 104/2000 του Συμβουλίου,</w:t>
      </w:r>
    </w:p>
    <w:p>
      <w:pPr>
        <w:pStyle w:val="StructureList1"/>
        <w:spacing w:before="120" w:after="0"/>
        <w:rPr>
          <w:lang w:val="el" w:eastAsia="el"/>
        </w:rPr>
      </w:pPr>
      <w:r>
        <w:rPr>
          <w:lang w:val="el" w:eastAsia="el"/>
        </w:rPr>
        <w:t>ii)</w:t>
      </w:r>
      <w:r>
        <w:rPr>
          <w:lang w:val="en" w:eastAsia="en"/>
        </w:rPr>
        <w:tab/>
      </w:r>
      <w:r>
        <w:rPr>
          <w:lang w:val="el" w:eastAsia="el"/>
        </w:rPr>
        <w:t>εμπίπτουν στην πρωτογενή παραγωγή γεωργικών προϊόντων</w:t>
      </w:r>
      <w:r>
        <w:rPr>
          <w:rStyle w:val="Hyperlink"/>
          <w:color w:val="000000"/>
          <w:sz w:val="20"/>
          <w:szCs w:val="20"/>
          <w:u w:val="none" w:color="0000EE"/>
          <w:vertAlign w:val="superscript"/>
          <w:lang w:val="el" w:eastAsia="el"/>
        </w:rPr>
        <w:footnoteReference w:id="3"/>
      </w:r>
      <w:r>
        <w:rPr>
          <w:lang w:val="el" w:eastAsia="el"/>
        </w:rPr>
        <w:t>,</w:t>
      </w:r>
    </w:p>
    <w:p>
      <w:pPr>
        <w:spacing w:before="240" w:after="240"/>
        <w:rPr>
          <w:lang w:val="el" w:eastAsia="el"/>
        </w:rPr>
      </w:pPr>
      <w:r>
        <w:rPr>
          <w:lang w:val="el" w:eastAsia="el"/>
        </w:rPr>
        <w:t>εμπίπτουν στον τομέα της μεταποίησης</w:t>
      </w:r>
      <w:r>
        <w:rPr>
          <w:rStyle w:val="Hyperlink"/>
          <w:color w:val="000000"/>
          <w:sz w:val="20"/>
          <w:szCs w:val="20"/>
          <w:u w:val="none" w:color="0000EE"/>
          <w:vertAlign w:val="superscript"/>
          <w:lang w:val="el" w:eastAsia="el"/>
        </w:rPr>
        <w:footnoteReference w:id="4"/>
      </w:r>
      <w:r>
        <w:rPr>
          <w:lang w:val="el" w:eastAsia="el"/>
        </w:rPr>
        <w:t xml:space="preserve"> και της εμπορίας</w:t>
      </w:r>
      <w:r>
        <w:rPr>
          <w:rStyle w:val="Hyperlink"/>
          <w:color w:val="000000"/>
          <w:sz w:val="20"/>
          <w:szCs w:val="20"/>
          <w:u w:val="none" w:color="0000EE"/>
          <w:vertAlign w:val="superscript"/>
          <w:lang w:val="el" w:eastAsia="el"/>
        </w:rPr>
        <w:footnoteReference w:id="5"/>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iv)</w:t>
      </w:r>
      <w:r>
        <w:rPr>
          <w:lang w:val="en" w:eastAsia="en"/>
        </w:rPr>
        <w:tab/>
      </w:r>
      <w:r>
        <w:rPr>
          <w:lang w:val="el" w:eastAsia="el"/>
        </w:rPr>
        <w:t>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w:t>
      </w:r>
      <w:r>
        <w:rPr>
          <w:lang w:val="en" w:eastAsia="en"/>
        </w:rPr>
        <w:tab/>
      </w:r>
      <w:r>
        <w:rPr>
          <w:lang w:val="el" w:eastAsia="el"/>
        </w:rPr>
        <w:t>τίθεται ως όρος η χρήση εγχώριων αγαθών αντί των εισαγόμενων.</w:t>
      </w:r>
    </w:p>
    <w:p>
      <w:pPr>
        <w:pStyle w:val="MainText"/>
        <w:spacing w:before="120" w:after="0"/>
        <w:rPr>
          <w:lang w:val="el" w:eastAsia="el"/>
        </w:rPr>
      </w:pPr>
      <w:r>
        <w:rPr>
          <w:b/>
          <w:bCs/>
          <w:lang w:val="el" w:eastAsia="el"/>
        </w:rPr>
        <w:t>5.</w:t>
      </w:r>
      <w:r>
        <w:rPr>
          <w:lang w:val="el" w:eastAsia="el"/>
        </w:rPr>
        <w:t xml:space="preserve"> Η ενίσχυση ήσσονος σημασίας που πρόκειται να χορηγηθεί στην επιχείρηση βάσει της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w:t>
      </w:r>
    </w:p>
    <w:p>
      <w:pPr>
        <w:spacing w:before="240" w:after="240"/>
        <w:rPr>
          <w:lang w:val="el" w:eastAsia="el"/>
        </w:rPr>
      </w:pPr>
      <w:r>
        <w:rPr>
          <w:lang w:val="el" w:eastAsia="el"/>
        </w:rPr>
        <w:t>• το ποσό των διακοσίων χιλιάδων (200.000) ευρώ ή</w:t>
      </w:r>
    </w:p>
    <w:p>
      <w:pPr>
        <w:spacing w:before="240" w:after="240"/>
        <w:rPr>
          <w:lang w:val="el" w:eastAsia="el"/>
        </w:rPr>
      </w:pPr>
      <w:r>
        <w:rPr>
          <w:lang w:val="el" w:eastAsia="el"/>
        </w:rPr>
        <w:t>• στην περίπτωση που η επιχείρηση εκτελεί οδικές εμπορευματικές μεταφορές για λογαριασμό τρίτων (μη συμπεριλαμβανόμενης της απόκτησης οχημάτων οδικών εμπορευματικών μεταφορών) το ποσό των εκατό χιλιάδων (100.000) ευρώ</w:t>
      </w:r>
    </w:p>
    <w:p>
      <w:pPr>
        <w:spacing w:before="240" w:after="240"/>
        <w:rPr>
          <w:lang w:val="el" w:eastAsia="el"/>
        </w:rPr>
      </w:pPr>
      <w:r>
        <w:rPr>
          <w:lang w:val="el" w:eastAsia="el"/>
        </w:rPr>
        <w:t>Στην περίπτωση που δραστηριοποιείται σε περισσότερους του ενός τομείς για τους οποίους ισχύουν διαφορετικά ανώτατα όρια ενίσχυσης σύμφωνα με τα ανωτέρω, διασφαλίζει με κατάλληλα μέσα όπως ο λογιστικός διαχωρισμός, ότι για καθεμία από τις δραστηριότητες αυτές τηρείται το σχετικό ανώτατο όριο.</w:t>
      </w:r>
    </w:p>
    <w:p>
      <w:pPr>
        <w:pStyle w:val="MainText"/>
        <w:spacing w:before="120" w:after="0"/>
        <w:rPr>
          <w:lang w:val="el" w:eastAsia="el"/>
        </w:rPr>
      </w:pPr>
      <w:r>
        <w:rPr>
          <w:b/>
          <w:bCs/>
          <w:lang w:val="el" w:eastAsia="el"/>
        </w:rPr>
        <w:t>6.</w:t>
      </w:r>
      <w:r>
        <w:rPr>
          <w:lang w:val="el" w:eastAsia="el"/>
        </w:rPr>
        <w:t xml:space="preserve"> Η επιχείρηση δεν έχει λάβει άλλη κρατική ενίσχυση για τις ίδιες επιλέξιμες δαπάνες ή για το ίδιο μέτρο,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MainText"/>
        <w:spacing w:before="120" w:after="0"/>
        <w:rPr>
          <w:lang w:val="el" w:eastAsia="el"/>
        </w:rPr>
      </w:pPr>
      <w:r>
        <w:rPr>
          <w:b/>
          <w:bCs/>
          <w:lang w:val="el" w:eastAsia="el"/>
        </w:rPr>
        <w:t>7.</w:t>
      </w:r>
      <w:r>
        <w:rPr>
          <w:lang w:val="el" w:eastAsia="el"/>
        </w:rPr>
        <w:t xml:space="preserve">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1407/2013, διασφαλίζει με κατάλληλα μέσα, όπως ο λογιστικός διαχωρισμός, ότι δεν ενισχύεται η μη επιλέξιμη δραστηριότητα.</w:t>
      </w:r>
    </w:p>
    <w:p>
      <w:pPr>
        <w:pStyle w:val="MainText"/>
        <w:spacing w:before="120" w:after="0"/>
        <w:rPr>
          <w:lang w:val="el" w:eastAsia="el"/>
        </w:rPr>
      </w:pPr>
      <w:r>
        <w:rPr>
          <w:b/>
          <w:bCs/>
          <w:lang w:val="el" w:eastAsia="el"/>
        </w:rPr>
        <w:t>8.</w:t>
      </w:r>
      <w:r>
        <w:rPr>
          <w:lang w:val="el" w:eastAsia="el"/>
        </w:rPr>
        <w:t xml:space="preserve"> Ότι εφόσον αποτελούν επιχειρήσεις που δραστηριοποιούνται στους τομείς της μεταποίησης και εμπορίας γεωργικών προϊόντων δεσμεύονται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9.</w:t>
      </w:r>
      <w:r>
        <w:rPr>
          <w:lang w:val="el" w:eastAsia="el"/>
        </w:rPr>
        <w:t xml:space="preserve"> Ότι η ενίσχυση της παρούσας δεν θα χρησιμοποιηθεί για την απόκτηση οχημάτων οδικών εμπορευματικών μεταφορών.</w:t>
      </w:r>
    </w:p>
    <w:p>
      <w:pPr>
        <w:pStyle w:val="MainText"/>
        <w:spacing w:before="120" w:after="0"/>
        <w:rPr>
          <w:lang w:val="el" w:eastAsia="el"/>
        </w:rPr>
      </w:pPr>
      <w:r>
        <w:rPr>
          <w:b/>
          <w:bCs/>
          <w:lang w:val="el" w:eastAsia="el"/>
        </w:rPr>
        <w:t>10.</w:t>
      </w:r>
      <w:r>
        <w:rPr>
          <w:lang w:val="el" w:eastAsia="el"/>
        </w:rPr>
        <w:t xml:space="preserve"> Ότι έχει λάβει γνώση του περιεχομένου της παρούσας απόφασης και ότι πληροί το σύνολο των όρων και προϋποθέσεων της παρούσας.</w:t>
      </w:r>
    </w:p>
    <w:p>
      <w:pPr>
        <w:pStyle w:val="MainText"/>
        <w:spacing w:before="120" w:after="0"/>
        <w:rPr>
          <w:lang w:val="el" w:eastAsia="el"/>
        </w:rPr>
      </w:pPr>
      <w:r>
        <w:rPr>
          <w:b/>
          <w:bCs/>
          <w:lang w:val="el" w:eastAsia="el"/>
        </w:rPr>
        <w:t>11.</w:t>
      </w:r>
      <w:r>
        <w:rPr>
          <w:lang w:val="el" w:eastAsia="el"/>
        </w:rPr>
        <w:t xml:space="preserve"> Ότι αποδέχεται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b/>
          <w:bCs/>
          <w:lang w:val="el" w:eastAsia="el"/>
        </w:rPr>
        <w:t>ΠΑΡΑΡΤΗΜΑ IΙ</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Κωδικοί Αριθμοί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μαρμελάδων, ζελέδων και πουρέ και πολτών φρούτων ή καρπών με κέλυφος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κομπόστας φρούτων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μαρμελάδας, κομπόστας, γλυκών κουταλιού και παρόμοιων ειδών, από φρούτα και άλλους καρπούς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πλαισίων στοιβασίας υλικών (παλετών), κιβωτιοειδών πλαισίων στοιβασίας και άλλων σανίδων μεταφοράς φορτίων,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ξύλινων εμπορευματοκιβωτίων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πτυσσόμενων χαρτοκιβώτιων, κουτιών και κιβωτίων από μη κυματοειδές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κουτιών, θηκών, κιβωτίων και παρόμοιων ειδών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ακατέργαστων αγροτικών πρώτων υλών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νωπών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νωπών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Εξαγωγή εγχώριων νωπών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οπωροκηπευτικών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επεξεργασμένων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πλαστικών προϊόντων συσκευασίας επαγγελματικής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άλλων εμπορευμάτων με φορτηγό αυτοκίνητο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άλλων εμπορευμάτων, με φορτηγό αυτοκίνητο διεθνών μεταφορών και με οδηγό μη ιδιοκτήτη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οδικής μεταφοράς εμπορευμάτων με οχήματα ψυγεία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αποθήκευσης υπό ψύξη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προετοιμασίας (συσκευασία, συντήρηση κλπ), προς αποθήκευση αγροτικών προϊόντων</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Νοεμβρίου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Οικονομικών Υπουργός Οικονομικών Υφυπουργός Οικονομικών</w:t>
      </w:r>
    </w:p>
    <w:p>
      <w:pPr>
        <w:spacing w:before="240" w:after="240"/>
        <w:rPr>
          <w:lang w:val="el" w:eastAsia="el"/>
        </w:rPr>
      </w:pPr>
      <w:r>
        <w:rPr>
          <w:b/>
          <w:bCs/>
          <w:lang w:val="el" w:eastAsia="el"/>
        </w:rPr>
        <w:t>ΧΡΗΣΤΟΣ ΣΤΑΪΚΟΥΡΑΣ ΘΕΟ∆ΩΡΟΣ ΣΚΥΛΑΚΑΚΗΣ ΑΠΟΣΤΟΛΟΣ ΒΕΣΥΡΟΠΟΥΛΟΣ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ΣΠΥΡΙ∆ΩΝ - Α∆ΩΝΙΣ ΓΕΩΡΓΙΑ∆ΗΣ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w:t>
      </w:r>
      <w:r>
        <w:rPr>
          <w:i/>
          <w:iCs/>
          <w:lang w:val="el" w:eastAsia="el"/>
        </w:rPr>
        <w:t>των</w:t>
      </w:r>
      <w:r>
        <w:rPr>
          <w:lang w:val="el" w:eastAsia="el"/>
        </w:rPr>
        <w:t xml:space="preserve"> δικαιωμάτων ψήφου </w:t>
      </w:r>
      <w:r>
        <w:rPr>
          <w:i/>
          <w:iCs/>
          <w:lang w:val="el" w:eastAsia="el"/>
        </w:rPr>
        <w:t>των</w:t>
      </w:r>
      <w:r>
        <w:rPr>
          <w:lang w:val="el" w:eastAsia="el"/>
        </w:rPr>
        <w:t xml:space="preserve">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 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Ως »γεωργικά προϊόντα» νοούνται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