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ΕΑΛΕ/Γ.Π. οικ. 6</w:t>
      </w:r>
      <w:r>
        <w:rPr>
          <w:lang w:val="el" w:eastAsia="el"/>
        </w:rPr>
        <w:t xml:space="preserve">4772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Παράταση της μη υποχρέωσης θεώρησης των γνωματεύσεων του Ενιαίου Κανονισμού Παροχών Υγείας του Ε.Ο.Π.Υ.Υ. από ελεγκτή ιατρό.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ΥΠΟΥΡΓΟΣ ΥΓΕΙΑΣ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παρ. 2 και 3 του άρθρου 20 του ν. 4683/2020 «Κύρωση της από 20.3.2020 Π.Ν.Π. «Κατεπείγοντα μέτρα για την αντιμετώπιση των συνεπειών του κινδύνου διασποράς του κορωνοϊού COVID-19, τη στήριξη της κοινωνίας και της επιχειρηματικότητας και τη διασφάλιση της ομαλής λειτουργίας της αγοράς και της δημόσιας διοίκησης» (Α’ 68) και άλλες διατάξεις» (Α’ 83).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παρ. 2 του άρθρου 60 του ν. 4975/2022 «Σύσταση και οργάνωση νομικού προσώπου δημοσίου δικαίου με την επωνυμία «ΕΝΩΣΗ ΤΕΧΝΟΛΟΓΩΝ ΑΚΤΙΝΟΛΟΓΙΑΣ - ΑΚΤΙΝΟΘΕΡΑΠΕΙΑΣ ΕΛΛΑΔΑΣ» (Ε.Τ.Α.Α.Ε.), ρυθμίσεις για την αντιμετώπιση της πανδημίας του κορωνοϊού COVID-19 και την προστασία της δημόσιας υγείας και λοιπές διατάξεις» (Α’ 187).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Τον ν. 3918/2011 «Διαρθρωτικές αλλαγές στο σύστημα υγείας και άλλες διατάξεις» (Α’ 31).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Τον ν. 4238/2014 «Πρωτοβάθμιο Εθνικό Δίκτυο Υγείας (ΠΕΔΥ), αλλαγή σκοπού ΕΟΠΥΥ και άλλες λοιπές διατάξεις» (Α’ 38).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Το άρθρο 90 του Κώδικα Νομοθεσίας για την Κυβέρνηση και τα κυβερνητικά όργανα (π.δ. 63/2005, Α’ 98),το οποίο διατηρήθηκε σε ισχύ με την παρ. 22 του άρθρου 119 του ν. 4622/2019 (Α’ 133).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 π.δ. 121/2017 «Οργανισμός του Υπουργείου Υγείας» (Α’ 148).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Το π.δ. 68/2021 «Διορισμός Υπουργών, Αναπληρώτριας Υπουργού και Υφυπουργών» (Α’ 155).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Το άρθρο 2 του π.δ. 63/2020 «Σύσταση και κατάργηση Γενικών και Ειδικών Γραμματειών, μεταφορά αρμοδιοτήτων μεταξύ Γενικών Γραμματέων» (Α’ 156).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Την υπό στοιχεία ΕΑΛΕ/Γ.Π.80157/01-11-2018 κοινή απόφαση των Αναπληρωτών Υπουργών Οικονομικών και Υγείας «Τροποποίηση και αντικατάσταση της με αριθμ. πρωτ. ΕΑΛΕ/Γ.Π. 46846/19.6.2018 (Β’ 2315) κοινής υπουργικής απόφασης, με περιεχόμενο “Ενιαίος Κανονισμός Παροχών Υγείας (ΕΚΠΥ) του Εθνικού Οργανισμού Παροχών Υπηρεσιών Υγείας (ΕΟΠΥΥ)”» (Β’ 4898).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Την υπό στοιχεία ΕΑΛΕ/Γ.Π. οικ. 40748/12-07-2022 απόφαση του Υπουργού Υγείας «Παράταση της μη υποχρέωσης θεώρησης των γνωματεύσεων του Ενιαίου Κανονισμού Παροχών Υγείας του Ε.Ο.Π.Υ.Υ. από ελεγκτή ιατρό» (Β’ 3652).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Την υπό στοιχεία Β2β/Γ.Π. οικ. 63497/04-11-2022 εισήγηση της Γενικής Διεύθυνσης Οικονομικών Υπηρεσιών του Υπουργείου Υγείας, δυνάμει της περ. ε της παρ. 5 του άρθρου 24 του ν. 4270/2014, σύμφωνα με την οποία με την παρούσα απόφαση δεν προκαλείται πρόσθετη δαπάνη σε βάρος του προϋπολογισμού τρέχοντος έτους του Ε.Ο.Π.Υ.Υ., ούτε σε βάρος του κρατικού προϋπολογισμού,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Παρατείνεται η μη υποχρέωση θεώρησης γνωματεύσεων από ελεγκτή ιατρό, όπου αυτή ορίζεται από τον Ενιαίο Κανονισμό Παροχών Υγείας (Ε.Κ.Π.Υ. - υπό στοιχεία ΕΑΛΕ/Γ.Π. 80157/31-10-2018 κοινή υπουργική απόφαση, Β’ 4898), από τη λήξη της έως την 31η Δεκεμβρίου 2022.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10 Νοεμβρίου 2022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Υπουργός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ΑΘΑΝΑΣΙΟΣ ΠΛΕΥΡΗΣ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