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I. </w:t>
      </w:r>
      <w:r>
        <w:rPr>
          <w:b/>
          <w:bCs/>
          <w:lang w:val="el" w:eastAsia="el"/>
        </w:rPr>
        <w:t>Δ/ΝΣΗ ΕΠΙΛΥΣΗΣ ΔΙΑΦΟΡΩΝ ΥΠΟΔ/ΝΣΗ ΝΟΜΙΚΩΝ ΘΕΜΑΤΩΝ ΤΜΗΜΑ Β1 ΝΟΜΙΚΗΣ ΥΠΟΣΤΗΡΙΞΗΣ</w:t>
      </w:r>
    </w:p>
    <w:p>
      <w:pPr>
        <w:pStyle w:val="PreambelText"/>
        <w:spacing w:before="240" w:after="240"/>
        <w:rPr>
          <w:lang w:val="el" w:eastAsia="el"/>
        </w:rPr>
      </w:pPr>
      <w:r>
        <w:rPr>
          <w:lang w:val="el" w:eastAsia="el"/>
        </w:rPr>
        <w:t xml:space="preserve">II. </w:t>
      </w:r>
      <w:r>
        <w:rPr>
          <w:b/>
          <w:bCs/>
          <w:lang w:val="el" w:eastAsia="el"/>
        </w:rPr>
        <w:t>ΓΕΝΙΚΗ Δ/ΝΣΗ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Δ/ΝΣΗ ΣΤΡΑΤΗΓΙΚΗΣ ΤΕΧΝΟΛΟΓΙΩΝ ΠΛΗΡΟΦΟΡΙΚΗΣ (ΔΙ.Σ.ΤΕ.ΠΛ.) ΤΜΗΜΑ Ε’</w:t>
      </w:r>
    </w:p>
    <w:p>
      <w:pPr>
        <w:pStyle w:val="PreambelText"/>
        <w:spacing w:before="240" w:after="240"/>
        <w:rPr>
          <w:lang w:val="el" w:eastAsia="el"/>
        </w:rPr>
      </w:pPr>
      <w:r>
        <w:rPr>
          <w:lang w:val="el" w:eastAsia="el"/>
        </w:rPr>
        <w:t xml:space="preserve">2. </w:t>
      </w:r>
      <w:r>
        <w:rPr>
          <w:b/>
          <w:bCs/>
          <w:lang w:val="el" w:eastAsia="el"/>
        </w:rPr>
        <w:t>Δ/ΝΣΗ ΑΝΑΠΤΥΞΗΣ ΤΕΛΩΝΕΙΑΚΩΝ, ΕΛΕΓΚΤΙΚΩΝ ΚΑΙ ΕΠΙΧΕΙΡΗΣΙΑΚΩΝ ΕΦΑΡΜΟΓΩΝ (Δ.Α.Τ.Ε.) ΤΜΗΜΑ Ε’</w:t>
      </w:r>
    </w:p>
    <w:p>
      <w:pPr>
        <w:pStyle w:val="PreambelText"/>
        <w:spacing w:before="240" w:after="240"/>
        <w:rPr>
          <w:lang w:val="el" w:eastAsia="el"/>
        </w:rPr>
      </w:pPr>
      <w:r>
        <w:rPr>
          <w:lang w:val="el" w:eastAsia="el"/>
        </w:rPr>
        <w:t xml:space="preserve">3. </w:t>
      </w:r>
      <w:r>
        <w:rPr>
          <w:b/>
          <w:bCs/>
          <w:lang w:val="el" w:eastAsia="el"/>
        </w:rPr>
        <w:t>Δ/ΝΣΗ ΕΠΙΧΕΙΡΗΣΙΑΚΩΝ ΔΙΑΔΙΚΑΣΙΩΝ (ΔΙ.ΕΠΙ.ΔΙ.) ΤΜΗΜΑΤΑ Β’, Γ’</w:t>
      </w:r>
    </w:p>
    <w:p>
      <w:pPr>
        <w:pStyle w:val="PreambelText"/>
        <w:spacing w:before="240" w:after="240"/>
        <w:rPr>
          <w:lang w:val="el" w:eastAsia="el"/>
        </w:rPr>
      </w:pPr>
      <w:r>
        <w:rPr>
          <w:lang w:val="el" w:eastAsia="el"/>
        </w:rPr>
        <w:t xml:space="preserve">III. </w:t>
      </w: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ΕΛΕΓΧΩΝ</w:t>
      </w:r>
    </w:p>
    <w:p>
      <w:pPr>
        <w:pStyle w:val="PreambelText"/>
        <w:spacing w:before="240" w:after="240"/>
        <w:rPr>
          <w:lang w:val="el" w:eastAsia="el"/>
        </w:rPr>
      </w:pPr>
      <w:r>
        <w:rPr>
          <w:b/>
          <w:bCs/>
          <w:lang w:val="el" w:eastAsia="el"/>
        </w:rPr>
        <w:t>ΤΜΗΜΑΤΑ Α’, Ε’, Η’, Θ’, Ι’, Ζ’</w:t>
      </w:r>
    </w:p>
    <w:p>
      <w:pPr>
        <w:pStyle w:val="PreambelText"/>
        <w:spacing w:before="240" w:after="240"/>
        <w:rPr>
          <w:lang w:val="el" w:eastAsia="el"/>
        </w:rPr>
      </w:pPr>
      <w:r>
        <w:rPr>
          <w:b/>
          <w:bCs/>
          <w:lang w:val="el" w:eastAsia="el"/>
        </w:rPr>
        <w:t>Ταχ. Δ/νση : Αριστογείτονος 19</w:t>
      </w:r>
    </w:p>
    <w:p>
      <w:pPr>
        <w:pStyle w:val="PreambelText"/>
        <w:spacing w:before="240" w:after="240"/>
        <w:rPr>
          <w:lang w:val="el" w:eastAsia="el"/>
        </w:rPr>
      </w:pPr>
      <w:r>
        <w:rPr>
          <w:b/>
          <w:bCs/>
          <w:lang w:val="el" w:eastAsia="el"/>
        </w:rPr>
        <w:t>Ταχ. Κώδ. : 17671, Καλλιθέα</w:t>
      </w:r>
    </w:p>
    <w:p>
      <w:pPr>
        <w:pStyle w:val="PreambelText"/>
        <w:spacing w:before="240" w:after="240"/>
        <w:rPr>
          <w:lang w:val="el" w:eastAsia="el"/>
        </w:rPr>
      </w:pPr>
      <w:r>
        <w:rPr>
          <w:b/>
          <w:bCs/>
          <w:lang w:val="el" w:eastAsia="el"/>
        </w:rPr>
        <w:t>Τηλέφωνο : 2131604558</w:t>
      </w:r>
    </w:p>
    <w:p>
      <w:pPr>
        <w:pStyle w:val="PreambelText"/>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 xml:space="preserve">E-Mail : </w:t>
      </w:r>
      <w:hyperlink r:id="rId5" w:history="1">
        <w:r>
          <w:rPr>
            <w:rStyle w:val="Hyperlink"/>
            <w:b/>
            <w:bCs/>
            <w:color w:val="0000EE"/>
            <w:u w:color="0000EE"/>
            <w:lang w:val="el" w:eastAsia="el"/>
          </w:rPr>
          <w:t>ded.ath@aade.gr</w:t>
        </w:r>
      </w:hyperlink>
    </w:p>
    <w:p>
      <w:pPr>
        <w:pStyle w:val="PreambelText"/>
        <w:spacing w:before="240" w:after="240"/>
        <w:rPr>
          <w:lang w:val="el" w:eastAsia="el"/>
        </w:rPr>
      </w:pPr>
      <w:r>
        <w:rPr>
          <w:b/>
          <w:bCs/>
          <w:lang w:val="el" w:eastAsia="el"/>
        </w:rPr>
        <w:t>Θέμα: «Υποβολή ενδικοφανών προσφυγών και αιτημάτων αναστολής του άρθρου</w:t>
      </w:r>
    </w:p>
    <w:p>
      <w:pPr>
        <w:pStyle w:val="PreambelText"/>
        <w:spacing w:before="240" w:after="240"/>
        <w:rPr>
          <w:lang w:val="el" w:eastAsia="el"/>
        </w:rPr>
      </w:pPr>
      <w:r>
        <w:rPr>
          <w:b/>
          <w:bCs/>
          <w:lang w:val="el" w:eastAsia="el"/>
        </w:rPr>
        <w:t>63 του Κώδικα Φορολογικής Διαδικασίας (ν.4987/2022), αποκλειστικά ψηφιακά μέσω διαδικτύου από το δικτυακό τόπο της Α.Α.Δ.Ε.»</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63 του Κώδικα Φορολογικής Διαδικασίας (ν.4987/2022, Α’ 206),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w:t>
      </w:r>
      <w:r>
        <w:rPr>
          <w:b/>
          <w:bCs/>
          <w:i/>
          <w:iCs/>
          <w:lang w:val="el" w:eastAsia="el"/>
        </w:rPr>
        <w:t>Σύσταση Ανεξάρτητης Αρχής Δημοσίων Εσόδων</w:t>
      </w:r>
      <w:r>
        <w:rPr>
          <w:b/>
          <w:bCs/>
          <w:lang w:val="el" w:eastAsia="el"/>
        </w:rPr>
        <w:t>» του Μέρους Πρώτου του ν.4389/2016 (Α΄ 94) και ειδικότερα του άρθρου 7, της παραγράφου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αριθμ. Δ.ΟΡΓ.Α 1125859 ΕΞ 2020/23-10-2020 απόφασης του Διοικητή της Ανεξάρτητης Αρχής Δημοσίων Εσόδων «</w:t>
      </w:r>
      <w:r>
        <w:rPr>
          <w:b/>
          <w:bCs/>
          <w:i/>
          <w:iCs/>
          <w:lang w:val="el" w:eastAsia="el"/>
        </w:rPr>
        <w:t>Οργανισμός της Ανεξάρτητης Αρχής Δημοσίων Εσόδων (ΑΑΔΕ)</w:t>
      </w:r>
      <w:r>
        <w:rPr>
          <w:b/>
          <w:bCs/>
          <w:lang w:val="el" w:eastAsia="el"/>
        </w:rPr>
        <w:t>» (Β’ 4738).</w:t>
      </w:r>
    </w:p>
    <w:p>
      <w:pPr>
        <w:pStyle w:val="PreambelText"/>
        <w:spacing w:before="240" w:after="240"/>
        <w:rPr>
          <w:lang w:val="el" w:eastAsia="el"/>
        </w:rPr>
      </w:pPr>
      <w:r>
        <w:rPr>
          <w:b/>
          <w:bCs/>
          <w:lang w:val="el" w:eastAsia="el"/>
        </w:rPr>
        <w:t xml:space="preserve">2. </w:t>
      </w:r>
      <w:r>
        <w:rPr>
          <w:b/>
          <w:bCs/>
          <w:lang w:val="el" w:eastAsia="el"/>
        </w:rPr>
        <w:t>Την υπ΄ αρ. 1 της 20-1-2016 Πράξη του Υπουργικού Συμβουλίου «</w:t>
      </w:r>
      <w:r>
        <w:rPr>
          <w:b/>
          <w:bCs/>
          <w:i/>
          <w:iCs/>
          <w:lang w:val="el" w:eastAsia="el"/>
        </w:rPr>
        <w:t>Επιλογή και διορισμός Γενικού Γραμματέα της Γενικής Γραμματείας Δημοσίων Εσόδων του Υπουργείου Οικονομικών</w:t>
      </w:r>
      <w:r>
        <w:rPr>
          <w:b/>
          <w:bCs/>
          <w:lang w:val="el" w:eastAsia="el"/>
        </w:rPr>
        <w:t>»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2020/17-1-2020 (Υ.Ο.Δ.Δ. 27) του Υπουργού Οικονομικών, με θέμα «</w:t>
      </w:r>
      <w:r>
        <w:rPr>
          <w:b/>
          <w:bCs/>
          <w:i/>
          <w:iCs/>
          <w:lang w:val="el" w:eastAsia="el"/>
        </w:rPr>
        <w:t>Ανανέωση της θητείας του Διοικητή της Ανεξάρτητης Αρχής Δημοσίων Εσόδων</w:t>
      </w:r>
      <w:r>
        <w:rPr>
          <w:b/>
          <w:bCs/>
          <w:lang w:val="el" w:eastAsia="el"/>
        </w:rPr>
        <w:t>».</w:t>
      </w:r>
    </w:p>
    <w:p>
      <w:pPr>
        <w:pStyle w:val="PreambelText"/>
        <w:spacing w:before="240" w:after="240"/>
        <w:rPr>
          <w:lang w:val="el" w:eastAsia="el"/>
        </w:rPr>
      </w:pPr>
      <w:r>
        <w:rPr>
          <w:b/>
          <w:bCs/>
          <w:lang w:val="el" w:eastAsia="el"/>
        </w:rPr>
        <w:t xml:space="preserve">3. </w:t>
      </w:r>
      <w:r>
        <w:rPr>
          <w:b/>
          <w:bCs/>
          <w:lang w:val="el" w:eastAsia="el"/>
        </w:rPr>
        <w:t>Την υπό στοιχεία ΠΟΛ 1076/2018 απόφαση του Διοικητή της Ανεξάρτητης Αρχής Δημοσίων Εσόδων (ΑΑΔΕ) με θέμα «</w:t>
      </w:r>
      <w:r>
        <w:rPr>
          <w:b/>
          <w:bCs/>
          <w:i/>
          <w:iCs/>
          <w:lang w:val="el" w:eastAsia="el"/>
        </w:rPr>
        <w:t xml:space="preserve">Ηλεκτρονική υποβολή ενδικοφανών προσφυγών και αιτημάτων αναστολής του άρθρου </w:t>
      </w:r>
      <w:r>
        <w:rPr>
          <w:b/>
          <w:bCs/>
          <w:i/>
          <w:iCs/>
          <w:lang w:val="el" w:eastAsia="el"/>
        </w:rPr>
        <w:t xml:space="preserve">63 </w:t>
      </w:r>
      <w:r>
        <w:rPr>
          <w:b/>
          <w:bCs/>
          <w:i/>
          <w:iCs/>
          <w:lang w:val="el" w:eastAsia="el"/>
        </w:rPr>
        <w:t>του Κώδικα Φορολογικής Διαδικασίας (ν.4174/2013)</w:t>
      </w:r>
      <w:r>
        <w:rPr>
          <w:b/>
          <w:bCs/>
          <w:lang w:val="el" w:eastAsia="el"/>
        </w:rPr>
        <w:t>» (Β’ 1456)</w:t>
      </w:r>
    </w:p>
    <w:p>
      <w:pPr>
        <w:pStyle w:val="PreambelText"/>
        <w:spacing w:before="240" w:after="240"/>
        <w:rPr>
          <w:lang w:val="el" w:eastAsia="el"/>
        </w:rPr>
      </w:pPr>
      <w:r>
        <w:rPr>
          <w:b/>
          <w:bCs/>
          <w:lang w:val="el" w:eastAsia="el"/>
        </w:rPr>
        <w:t xml:space="preserve">4. </w:t>
      </w:r>
      <w:r>
        <w:rPr>
          <w:b/>
          <w:bCs/>
          <w:lang w:val="el" w:eastAsia="el"/>
        </w:rPr>
        <w:t>Την ανάγκη απλούστευσης της διαδικασίας υποβολής ενδικοφανούς προσφυγής και αιτήματος αναστολής ενώπιον της Δ/νσης Επίλυσης Διαφορών.</w:t>
      </w:r>
    </w:p>
    <w:p>
      <w:pPr>
        <w:pStyle w:val="PreambelText"/>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Ψηφιακή υποβολή ενδικοφανούς προσφυγής και αιτήματος αναστολής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Από 29/11/2022 οι ενδικοφανείς προσφυγές και τα αιτήματα αναστολής του άρθρου 63 του ν.4987/2022 που αφορούν σε πράξεις, ρητές ή σιωπηρές, οι οποίες εκδίδονται ή συντελούνται από : α) τα Ελεγκτικά Κέντρα (ΕΛ.ΚΕ.), β) το Κέντρο Ελέγχου Μεγάλων Επιχειρήσεων (Κ.Ε.ΜΕ.ΕΠ.), γ) το Κέντρο Ελέγχου Φορολογουμένων Μεγάλου Πλούτου (Κ.Ε.ΦΟ.ΜΕ.Π.) και δ) τις Δημόσιες Οικονομικές Υπηρεσίες (Δ.Ο.Υ.) Α΄ και Α1΄ Τάξης, δύνανται να υποβάλλονται είτε ψηφιακά μέσω διαδικτύου από το δικτυακό τόπο της Α.Α.Δ.Ε., ήτοι </w:t>
      </w:r>
      <w:hyperlink r:id="rId6" w:history="1">
        <w:r>
          <w:rPr>
            <w:rStyle w:val="Hyperlink"/>
            <w:b/>
            <w:bCs/>
            <w:color w:val="0000EE"/>
            <w:u w:color="0000EE"/>
            <w:lang w:val="el" w:eastAsia="el"/>
          </w:rPr>
          <w:t>www.aade.gr</w:t>
        </w:r>
      </w:hyperlink>
      <w:r>
        <w:rPr>
          <w:b/>
          <w:bCs/>
          <w:lang w:val="el" w:eastAsia="el"/>
        </w:rPr>
        <w:t>, με τη χρήση προσωπικών κωδικών πρόσβασης του TAXISnet, εντός της προθεσμίας που ορίζουν οι οικείες διατάξεις, είτε χειρόγραφα στη φορολογική αρχή που εξέδωσε την προσβαλλόμενη πράξη ή παρέλειψε την έκδοσή της σύμφωνα με τις διατάξεις της ΠΟΛ 1064/2017 (B΄ 1440) Απόφασης του Διοικητή της Α.Α.Δ.Ε. Το αίτημα αναστολής υποβάλλεται με τον ίδιο τρόπο (ψηφιακά ή χειρόγραφα) με τον οποίο υποβάλλεται και η ενδικοφανής προσφυγή.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Από 15/12/2022 οι ενδικοφανείς προσφυγές και τα αιτήματα αναστολής του άρθρου 63 του ν.4987/2022 που αφορούν σε πράξεις, ρητές ή σιωπηρές, οι οποίες εκδίδονται ή συντελούνται από τις Δ.Ο.Υ. Α-Β’ και Β’ Τάξης δύνανται να υποβάλλονται είτε ψηφιακά μέσω διαδικτύου από το δικτυακό τόπο της Α.Α.Δ.Ε. είτε χειρόγραφα στην αρμόδια φορολογική αρχή, σύμφωνα με τα αναφερόμενα στην παρ. 1 του παρόντος.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Από 1/2/2023 και εφεξής οι ενδικοφανείς προσφυγές και τα αιτήματα αναστολής του άρθρου 63 του ν.4987/2022 που αφορούν σε πράξεις, ρητές ή σιωπηρές, οι οποίες εκδίδονται ή συντελούνται από τις υπηρεσίες που αναφέρονται στις παρ. 1 και 2 του παρόντος, υποβάλλονται πλέον αποκλειστικά ψηφιακά μέσω διαδικτύου από το δικτυακό τόπο της Α.Α.Δ.Ε., ήτοι </w:t>
      </w:r>
      <w:hyperlink r:id="rId7" w:history="1">
        <w:r>
          <w:rPr>
            <w:rStyle w:val="Hyperlink"/>
            <w:b/>
            <w:bCs/>
            <w:color w:val="0000EE"/>
            <w:u w:color="0000EE"/>
            <w:lang w:val="el" w:eastAsia="el"/>
          </w:rPr>
          <w:t>www.aade.gr</w:t>
        </w:r>
      </w:hyperlink>
      <w:r>
        <w:rPr>
          <w:b/>
          <w:bCs/>
          <w:lang w:val="el" w:eastAsia="el"/>
        </w:rPr>
        <w:t>, με τη χρήση προσωπικών κωδικών πρόσβασης του TAXISnet, εντός της προθεσμίας που ορίζουν οι οικείες διατάξεις. Η ως άνω αποκλειστική, μέσω διαδικτύου, ψηφιακή υποβολή της ενδικοφανούς προσφυγής και του αιτήματος αναστολής, δεν ισχύει για τους φορολογούμενους κατοίκους εξωτερικού, στους οποίους παρέχεται εναλλακτικά η δυνατότητα χειρόγραφης υποβολής στην αρμόδια φορολογική αρχή. Σε περίπτωση που υφίσταται αποδεδειγμένη αδυναμία υποβολής ψηφιακά, οι ενδικοφανείς προσφυγές και τα αιτήματα αναστολής υποβάλλονται χειρόγραφα στη φορολογική αρχή που εξέδωσε την προσβαλλόμενη πράξη ή παρέλειψε την έκδοσή της.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Όταν ο υπόχρεος είναι νομικό πρόσωπο ή νομική οντότητα, σε περίπτωση που η ενδικοφανής προσφυγή υποβάλλεται ψηφιακά από το νόμιμο εκπρόσωπό τους, τότε γίνεται με χρήση των προσωπικών του κωδικών. Στις περιπτώσεις της παρ. 4 του άρθρου 2 της ΠΟΛ 1064/2017 (B΄ 1440) Απόφασης του Διοικητή της Α.Α.Δ.Ε., η ενδικοφανής προσφυγή υποβάλλεται ψηφιακά από τα πρόσωπα που αναφέρονται στην ίδια παράγραφο, ομοίως με χρήση των προσωπικών τους κωδικών.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w:t>
      </w:r>
    </w:p>
    <w:p>
      <w:pPr>
        <w:spacing w:before="240" w:after="240"/>
        <w:rPr>
          <w:lang w:val="el" w:eastAsia="el"/>
        </w:rPr>
      </w:pPr>
      <w:r>
        <w:rPr>
          <w:b/>
          <w:bCs/>
          <w:lang w:val="el" w:eastAsia="el"/>
        </w:rPr>
        <w:t>Περιεχόμενο και διαδικασία της ψηφιακής υποβολής ενδικοφανούς προσφυγής καιαιτήματος αναστολής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υπόχρεος δύναται, μέσω της εφαρμογής, να υποβάλλει ενδικοφανή προσφυγή και ταυτόχρονο αίτημα αναστολής του καταβλητέου ποσοστού πενήντα τοις εκατό (50%) του αμφισβητούμενου ποσού της προσβαλλόμενης πράξης, σύμφωνα με τις οικείες διατάξεις. Σε περίπτωση που το αίτημα αναστολής υποβληθεί μέσω της εφαρμογής αυτοτελώς, εξετάζεται από τη Διεύθυνση Επίλυσης Διαφορών μόνο εφόσον έχει υποβληθεί την ίδια ημέρα με την ενδικοφανή προσφυγή.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Πριν από την υποβολή της ενδικοφανούς προσφυγής και του τυχόν αιτήματος αναστολής, ο υπόχρεος επιλέγει σχετικό πεδίο το οποίο επέχει θέση υπεύθυνης δήλωσης και με το οποίο βεβαιώνει ότι τα επισυναπτόμενα έγγραφα και δικαιολογητικά, που συνοδεύουν την ενδικοφανή προσφυγή και το αίτημα αναστολής του και υποβάλλονται ψηφιακά, αποτελούν αντίγραφα εκ των πρωτοτύπων ή επικυρωμένων αντιγράφων αυτών, τα οποία έχει στην κατοχή του και θα προσκομίσει ενώπιον της Διεύθυνσης Επίλυσης Διαφορών, εφόσον του ζητηθούν.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υπόχρεος ταυτόχρονα με την ψηφιακή υποβολή της ενδικοφανούς προσφυγής, μεριμνά για την μεταφόρτωση στην εφαρμογή, σε ψηφιακή μορφή (αρχεία .pdf ή .zip), της υποβληθείσας ενδικοφανούς προσφυγής, της αίτησης αναστολής και των λοιπών εγγράφων και δικαιολογητικών που επικαλείται ή προβλέπονται από τις οικείες διατάξεις. Εφόσον δεν είναι δυνατή η μεταφόρτωση στην εφαρμογή των ανωτέρω εγγράφων και δικαιολογητικών που συνοδεύουν την ενδικοφανή προσφυγή, ο υπόχρεος δύναται να τα προσκομίζει στην αρμόδια φορολογική αρχή σε ψηφιακή μορφή (σε οπτικό δίσκο – CD ή USB κλπ.), εντός προθεσμίας δύο (2) εργάσιμων ημερών από την ψηφιακή υποβολή της ενδικοφανούς προσφυγής. Η φορολογική αρχή μεριμνά για την αποστολή των ως άνω στοιχείων στη Διεύθυνση Επίλυσης Διαφορών, με κάθε πρόσφορο μέσο, εντός της προθεσμίας της παρ. 8 του παρόντος.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Μετά την ψηφιακή υποβολή της ενδικοφανούς προσφυγής και του αιτήματος αναστολής και πριν από την έκδοση απόφασης από τη Διεύθυνση Επίλυσης Διαφορών ή την πάροδο της προβλεπόμενης προθεσμίας για την έκδοση απόφασης, ο υπόχρεος δύναται να υποβάλει, μέσω της ίδιας εφαρμογής, συμπληρωματικό υπόμνημα. Το σχετικό υπόμνημα υποβάλλεται σε ψηφιακή μορφή (αρχεία .pdf ή .zip), συνοδευόμενο από τυχόν έγγραφα και δικαιολογητικά.</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 υπόχρεος, μέσω της εφαρμογής, δύναται να προβεί σε παραίτηση από την ενδικοφανή προσφυγή και το αίτημα αναστολής, οπότε σε αυτήν την περίπτωση παύει η διαδικασία εξέτασής τους ενώπιον της Διεύθυνσης Επίλυσης Διαφορών.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ενδικοφανής προσφυγή και το αίτημα αναστολής απαιτείται να φέρουν Ψηφιακή Βεβαίωση Εγγράφου που εκδίδεται μέσω gov.gr, σύμφωνα με την παρ. 3 του άρθρου 27 ν.4727/2020. Τα ως άνω ισχύουν και για την προβλεπόμενη, στην παρ. 3 του άρθρου 6 της ΠΟΛ 1064/2017 (B΄ 1440) Απόφασης του Διοικητή της Α.Α.Δ.Ε., υπεύθυνη δήλωση του άρθρου 8 ν. 1599/1986 επί του αιτήματος αναστολής, καθώς και για το συμπληρωματικό υπόμνημα που προβλέπεται στην παρ. 4 του άρθρου 2 της παρούσας.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Μετά την υποβολή της ενδικοφανούς προσφυγής από τον υπόχρεο, παράγεται αυτόματα από την εφαρμογή αποδεικτικό υποβολής σε ψηφιακή μορφή, το οποίο περιλαμβάνει τα στοιχεία του προσφεύγοντος, τις προσβαλλόμενες πράξεις, τον αριθμό πρωτοκόλλου και την ημερομηνία υποβολής της ενδικοφανούς προσφυγής και του αιτήματος αναστολής.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Η αρμόδια φορολογική αρχή, εντός επτά (7) ημερών από την ψηφιακή υποβολή της ενδικοφανούς προσφυγής, σύμφωνα με την παρ. 2 του άρθρου 63 ν.4987/2022, μεταφορτώνει στην εφαρμογή σε ψηφιακή μορφή τις απόψεις της επί της ενδικοφανούς προσφυγής και του αιτήματος αναστολής, την προσβαλλόμενη πράξη, την οικεία έκθεση ελέγχου, καθώς και το σύνολο των εγγράφων και δικαιολογητικών που αφορούν στην υπόθεση. Ως έγγραφα και δικαιολογητικά που αφορούν στην υπόθεση και πρέπει να μεταφορτώνονται στην εφαρμογή σε ψηφιακή μορφή, πέραν αυτών που αναφέρονται στην παρ. 3 του παρόντος άρθρου, νοούνται ενδεικτικά τα συνημμένα της έκθεσης ελέγχου, τυχόν αιτήσεις-υπομνήματα του υπόχρεου, το σημείωμα διαπιστώσεων ελέγχου, ο προσωρινός διορθωτικός προσδιορισμός του φόρου ή προστίμου, οι οικείες εκθέσεις/αποδεικτικά επίδοσης, τυχόν αλληλογραφία της αρμόδιας φορολογικής αρχής με τις κεντρικές υπηρεσίες της Α.Α.Δ.Ε. που αφορά την υπόθεση, καθώς και κάθε στοιχείο που οδήγησε στην έκδοση της προσβαλλόμενης πράξης προσδιορισμού του φόρου ή του προστίμου.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3Λοιπές – Μεταβατικές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τις ενδικοφανείς προσφυγές και τα αιτήματα αναστολής του άρθρου 63 του ν.4987/2022 που αφορούν σε πράξεις, ρητές ή σιωπηρές, οι οποίες εκδίδονται ή συντελούνται από τις Δ.Ο.Υ. Ψυχικού και Ιωνίας Θεσσαλονίκης εξακολουθεί να ισχύει η ΠΟΛ. 1076/2018 Απόφαση του Διοικητή της Α.Α.Δ.Ε. (Β’ 1456) έως και τις 14/12/2022.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όσα ζητήματα δεν ρυθμίζονται με την παρούσα, εξακολουθεί να ισχύει η ΠΟΛ 1064/2017 (B΄ 1440) Απόφαση του Διοικητή της Α.Α.Δ.Ε. και οι ΠΟΛ 1069/4.3.2014 και 1081/6.4.2015 Εγκύκλιοι του Γενικού Γραμματέα Δημοσίων Εσόδων.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την επιφύλαξη των αναφερομένων στην παρ. 1 του παρόντος, από τις 29/11/2022 παύει να ισχύει η ΠΟΛ. 1076/2018 Απόφαση του Διοικητή της Α.Α.Δ.Ε. (Β’ 1456),</w:t>
      </w:r>
    </w:p>
    <w:p>
      <w:pPr>
        <w:spacing w:before="240" w:after="240"/>
        <w:rPr>
          <w:lang w:val="el" w:eastAsia="el"/>
        </w:rPr>
      </w:pPr>
      <w:r>
        <w:rPr>
          <w:b/>
          <w:bCs/>
          <w:lang w:val="el" w:eastAsia="el"/>
        </w:rPr>
        <w:t xml:space="preserve">4.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w:t>
      </w:r>
    </w:p>
    <w:p>
      <w:pPr>
        <w:spacing w:before="240" w:after="240"/>
        <w:rPr>
          <w:lang w:val="el" w:eastAsia="el"/>
        </w:rPr>
      </w:pPr>
      <w:r>
        <w:rPr>
          <w:b/>
          <w:bCs/>
          <w:lang w:val="el" w:eastAsia="el"/>
        </w:rPr>
        <w:t>IΙ.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(πλην περ. 1)</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(ΔΙ.Σ.ΤΕ.ΠΛ.) για ανάρτηση στον ιστότοπο της Α.Α.Δ.Ε και την Ηλεκτρονική Βιβλιοθήκη</w:t>
      </w:r>
    </w:p>
    <w:p>
      <w:pPr>
        <w:spacing w:before="240" w:after="240"/>
        <w:rPr>
          <w:lang w:val="el" w:eastAsia="el"/>
        </w:rPr>
      </w:pPr>
      <w:r>
        <w:rPr>
          <w:b/>
          <w:bCs/>
          <w:lang w:val="el" w:eastAsia="el"/>
        </w:rPr>
        <w:t>IΙΙ.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Γραφείο Νομικού Συμβούλου στο Υπουργείο Οικονομικών</w:t>
      </w:r>
    </w:p>
    <w:p>
      <w:pPr>
        <w:spacing w:before="240" w:after="240"/>
        <w:rPr>
          <w:lang w:val="el" w:eastAsia="el"/>
        </w:rPr>
      </w:pPr>
      <w:r>
        <w:rPr>
          <w:b/>
          <w:bCs/>
          <w:lang w:val="el" w:eastAsia="el"/>
        </w:rPr>
        <w:t xml:space="preserve">4. </w:t>
      </w:r>
      <w:r>
        <w:rPr>
          <w:b/>
          <w:bCs/>
          <w:lang w:val="el" w:eastAsia="el"/>
        </w:rPr>
        <w:t>Ειδικό Νομικό Γραφείο Δημοσίων Εσόδων Α.Α.Δ.Ε.</w:t>
      </w:r>
    </w:p>
    <w:p>
      <w:pPr>
        <w:spacing w:before="240" w:after="240"/>
        <w:rPr>
          <w:lang w:val="el" w:eastAsia="el"/>
        </w:rPr>
      </w:pPr>
      <w:r>
        <w:rPr>
          <w:b/>
          <w:bCs/>
          <w:lang w:val="el" w:eastAsia="el"/>
        </w:rPr>
        <w:t xml:space="preserve">5. </w:t>
      </w:r>
      <w:r>
        <w:rPr>
          <w:b/>
          <w:bCs/>
          <w:lang w:val="el" w:eastAsia="el"/>
        </w:rPr>
        <w:t>Φορολογικές Περιφέρειες</w:t>
      </w:r>
    </w:p>
    <w:p>
      <w:pPr>
        <w:spacing w:before="240" w:after="240"/>
        <w:rPr>
          <w:lang w:val="el" w:eastAsia="el"/>
        </w:rPr>
      </w:pPr>
      <w:r>
        <w:rPr>
          <w:b/>
          <w:bCs/>
          <w:lang w:val="el" w:eastAsia="el"/>
        </w:rPr>
        <w:t xml:space="preserve">6. </w:t>
      </w:r>
      <w:r>
        <w:rPr>
          <w:b/>
          <w:bCs/>
          <w:lang w:val="el" w:eastAsia="el"/>
        </w:rPr>
        <w:t>Π.Ο.Ε. - Δ.Ο.Υ. - Λεωχάρους 2, Τ.Κ.105 62 Αθήνα</w:t>
      </w:r>
    </w:p>
    <w:p>
      <w:pPr>
        <w:spacing w:before="240" w:after="240"/>
        <w:rPr>
          <w:lang w:val="el" w:eastAsia="el"/>
        </w:rPr>
      </w:pPr>
      <w:r>
        <w:rPr>
          <w:b/>
          <w:bCs/>
          <w:lang w:val="el" w:eastAsia="el"/>
        </w:rPr>
        <w:t xml:space="preserve">7. </w:t>
      </w:r>
      <w:r>
        <w:rPr>
          <w:b/>
          <w:bCs/>
          <w:lang w:val="el" w:eastAsia="el"/>
        </w:rPr>
        <w:t>Περιοδικό «Φορολογική Επιθεώρηση» - Λεωχάρους 2, Τ.Κ.105 62 Αθήνα</w:t>
      </w:r>
    </w:p>
    <w:p>
      <w:pPr>
        <w:spacing w:before="240" w:after="240"/>
        <w:rPr>
          <w:lang w:val="el" w:eastAsia="el"/>
        </w:rPr>
      </w:pPr>
      <w:r>
        <w:rPr>
          <w:b/>
          <w:bCs/>
          <w:lang w:val="el" w:eastAsia="el"/>
        </w:rPr>
        <w:t xml:space="preserve">8. </w:t>
      </w:r>
      <w:r>
        <w:rPr>
          <w:b/>
          <w:bCs/>
          <w:lang w:val="el" w:eastAsia="el"/>
        </w:rPr>
        <w:t>Δικηγορικοί Σύλλογοι</w:t>
      </w:r>
    </w:p>
    <w:p>
      <w:pPr>
        <w:spacing w:before="240" w:after="240"/>
        <w:rPr>
          <w:lang w:val="el" w:eastAsia="el"/>
        </w:rPr>
      </w:pPr>
      <w:r>
        <w:rPr>
          <w:b/>
          <w:bCs/>
          <w:lang w:val="el" w:eastAsia="el"/>
        </w:rPr>
        <w:t xml:space="preserve">9. </w:t>
      </w:r>
      <w:r>
        <w:rPr>
          <w:b/>
          <w:bCs/>
          <w:lang w:val="el" w:eastAsia="el"/>
        </w:rPr>
        <w:t>Αποδέκτες Πίνακα Η’ (πλην περ. 4, 10 και 11)</w:t>
      </w:r>
    </w:p>
    <w:p>
      <w:pPr>
        <w:spacing w:before="240" w:after="240"/>
        <w:rPr>
          <w:lang w:val="el" w:eastAsia="el"/>
        </w:rPr>
      </w:pPr>
      <w:r>
        <w:rPr>
          <w:b/>
          <w:bCs/>
          <w:lang w:val="el" w:eastAsia="el"/>
        </w:rPr>
        <w:t>ΙV.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Γενικών Διευθύνσεων Α.Α.Δ.Ε.</w:t>
      </w:r>
    </w:p>
    <w:p>
      <w:pPr>
        <w:spacing w:before="240" w:after="240"/>
        <w:rPr>
          <w:lang w:val="el" w:eastAsia="el"/>
        </w:rPr>
      </w:pPr>
      <w:r>
        <w:rPr>
          <w:b/>
          <w:bCs/>
          <w:lang w:val="el" w:eastAsia="el"/>
        </w:rPr>
        <w:t xml:space="preserve">3. </w:t>
      </w:r>
      <w:r>
        <w:rPr>
          <w:b/>
          <w:bCs/>
          <w:lang w:val="el" w:eastAsia="el"/>
        </w:rPr>
        <w:t>Διευθύνσεις, Αυτοτελή Τμήματα και Αυτοτελή Γραφεία της Κεντρικής Υπηρεσίας της Α.Α.Δ.Ε.</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Στρατηγικής Τεχνολογιών Πληροφορικής</w:t>
      </w:r>
    </w:p>
    <w:p>
      <w:pPr>
        <w:spacing w:before="240" w:after="240"/>
        <w:rPr>
          <w:lang w:val="el" w:eastAsia="el"/>
        </w:rPr>
      </w:pPr>
      <w:r>
        <w:rPr>
          <w:b/>
          <w:bCs/>
          <w:lang w:val="el" w:eastAsia="el"/>
        </w:rPr>
        <w:t xml:space="preserve">6. </w:t>
      </w:r>
      <w:r>
        <w:rPr>
          <w:b/>
          <w:bCs/>
          <w:lang w:val="el" w:eastAsia="el"/>
        </w:rPr>
        <w:t>Δ/νση Ανάπτυξης Τελωνειακών, Ελεγκτικών και Επιχειρησιακών Εφαρμογών</w:t>
      </w:r>
    </w:p>
    <w:p>
      <w:pPr>
        <w:spacing w:before="240" w:after="240"/>
        <w:rPr>
          <w:lang w:val="el" w:eastAsia="el"/>
        </w:rPr>
      </w:pPr>
      <w:r>
        <w:rPr>
          <w:b/>
          <w:bCs/>
          <w:lang w:val="el" w:eastAsia="el"/>
        </w:rPr>
        <w:t xml:space="preserve">7. </w:t>
      </w:r>
      <w:r>
        <w:rPr>
          <w:b/>
          <w:bCs/>
          <w:lang w:val="el" w:eastAsia="el"/>
        </w:rPr>
        <w:t>Δ/νση Ελέγχων</w:t>
      </w:r>
    </w:p>
    <w:p>
      <w:pPr>
        <w:spacing w:before="240" w:after="240"/>
        <w:rPr>
          <w:lang w:val="el" w:eastAsia="el"/>
        </w:rPr>
      </w:pPr>
      <w:r>
        <w:rPr>
          <w:b/>
          <w:bCs/>
          <w:lang w:val="el" w:eastAsia="el"/>
        </w:rPr>
        <w:t xml:space="preserve">8. </w:t>
      </w:r>
      <w:r>
        <w:rPr>
          <w:b/>
          <w:bCs/>
          <w:lang w:val="el" w:eastAsia="el"/>
        </w:rPr>
        <w:t>Διεύθυνση Επίλυσης Διαφορών(Δ.Ε.Δ.) - Υποδιεύθυνση Επανεξέτασης και Νομικής Υποστήριξης (Θεσσαλονίκη)</w:t>
      </w:r>
    </w:p>
    <w:p>
      <w:pPr>
        <w:spacing w:before="240" w:after="240"/>
        <w:rPr>
          <w:lang w:val="el" w:eastAsia="el"/>
        </w:rPr>
      </w:pPr>
      <w:r>
        <w:rPr>
          <w:b/>
          <w:bCs/>
          <w:lang w:val="el" w:eastAsia="el"/>
        </w:rPr>
        <w:t xml:space="preserve">9. </w:t>
      </w:r>
      <w:r>
        <w:rPr>
          <w:b/>
          <w:bCs/>
          <w:lang w:val="el" w:eastAsia="el"/>
        </w:rPr>
        <w:t>Δ/νση Επίλυσης Διαφορών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ded.ath@aade.gr" TargetMode="External" /><Relationship Id="rId6" Type="http://schemas.openxmlformats.org/officeDocument/2006/relationships/hyperlink" Target="http://www.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