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111847/23.11.2022</w:t>
      </w:r>
    </w:p>
    <w:p>
      <w:pPr>
        <w:pStyle w:val="Title"/>
        <w:spacing w:before="120" w:after="360"/>
        <w:rPr>
          <w:lang w:val="el" w:eastAsia="el"/>
        </w:rPr>
      </w:pPr>
      <w:r>
        <w:rPr>
          <w:lang w:val="el" w:eastAsia="el"/>
        </w:rPr>
        <w:t>Ρύθμιση ειδικότερων θεμάτων της πιλοτικής λειτουργίας του Προγράμματος «ΚΟΜΒΙΟΝ ΠΑΝΙΚΟΥ» (Panic Button), σύμφωνα με το άρθρο 19 του ν. 4995/2022 (Α' 216)</w:t>
      </w:r>
    </w:p>
    <w:p>
      <w:pPr>
        <w:pStyle w:val="PreambelText"/>
        <w:spacing w:before="240" w:after="240"/>
        <w:rPr>
          <w:lang w:val="el" w:eastAsia="el"/>
        </w:rPr>
      </w:pPr>
      <w:r>
        <w:rPr>
          <w:b/>
          <w:bCs/>
          <w:lang w:val="el" w:eastAsia="el"/>
        </w:rPr>
        <w:t>Αριθμ. 111847/2022</w:t>
      </w:r>
    </w:p>
    <w:p>
      <w:pPr>
        <w:pStyle w:val="PreambelText"/>
        <w:spacing w:before="240" w:after="240"/>
        <w:rPr>
          <w:lang w:val="el" w:eastAsia="el"/>
        </w:rPr>
      </w:pPr>
      <w:r>
        <w:rPr>
          <w:lang w:val="el" w:eastAsia="el"/>
        </w:rPr>
        <w:t>(ΦΕΚ Β 6007/24-11-2022)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ΕΡΓΑΣΙΑΣ ΚΑΙ ΚΟΙΝΩΝΙΚΩΝ ΥΠΟΘΕΣΕΩΝ -ΠΡΟΣΤΑΣΙΑΣ ΤΟΥ ΠΟΛΙΤΗ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19 του ν. 4995/2022 «Πιλοτική Λειτουργία Προγράμματος «Κομβίον Πανικού» (Panic Button)» (Α' 216)</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6. Του άρθρου 90 του Κώδικα Νομοθεσίας για την Κυβέρνηση και τα κυβερνητικά όργανα (π.δ. 63/2005 , Α' 98) σε συνδυασμό με την παρ. 22 του άρθρου 119 του ν. 4622/2019 (Α' 133).</w:t>
      </w:r>
    </w:p>
    <w:p>
      <w:pPr>
        <w:pStyle w:val="PreambelText"/>
        <w:spacing w:before="240" w:after="240"/>
        <w:rPr>
          <w:lang w:val="el" w:eastAsia="el"/>
        </w:rPr>
      </w:pPr>
      <w:r>
        <w:rPr>
          <w:lang w:val="el" w:eastAsia="el"/>
        </w:rPr>
        <w:t>7. Του π.δ. 81/2019 «Σύσταση, συγχώνευση, μετονομασία και κατάργηση Υπουργείων και καθορισμός των αρμοδιοτήτων μεταξύ των Υπουργείων» (Α' 119).</w:t>
      </w:r>
    </w:p>
    <w:p>
      <w:pPr>
        <w:pStyle w:val="PreambelText"/>
        <w:spacing w:before="240" w:after="240"/>
        <w:rPr>
          <w:lang w:val="el" w:eastAsia="el"/>
        </w:rPr>
      </w:pPr>
      <w:r>
        <w:rPr>
          <w:lang w:val="el" w:eastAsia="el"/>
        </w:rPr>
        <w:t>8.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Του π.δ. 3/2021 «Μεταφορά υπηρεσιών και αρμοδιοτήτων μεταξύ Υπουργείων και μετονομασία Γενικών Γραμματειών» (Α' 3).</w:t>
      </w:r>
    </w:p>
    <w:p>
      <w:pPr>
        <w:pStyle w:val="PreambelText"/>
        <w:spacing w:before="240" w:after="240"/>
        <w:rPr>
          <w:lang w:val="el" w:eastAsia="el"/>
        </w:rPr>
      </w:pPr>
      <w:r>
        <w:rPr>
          <w:lang w:val="el" w:eastAsia="el"/>
        </w:rPr>
        <w:t>10.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11. Του π.δ. 83/2019 «Διορισμός Αντιπροέδρου της Κυβέρνησης, Υπουργών, Αναπληρωτών Υπουργών και Υφυπουργών» (Α' 121) και του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12. Του π.δ. 134/2017 «Οργανισμός του Υπουργείου Εργασίας και Κοινωνικών Υποθέσεων» (Α' 168) σε συνδυασμό με τα άρθρα 22-26 του π.δ. 141/2017 «Οργανισμός του Υπουργείου Εσωτερικών» (Α' 180).</w:t>
      </w:r>
    </w:p>
    <w:p>
      <w:pPr>
        <w:pStyle w:val="PreambelText"/>
        <w:spacing w:before="240" w:after="240"/>
        <w:rPr>
          <w:lang w:val="el" w:eastAsia="el"/>
        </w:rPr>
      </w:pPr>
      <w:r>
        <w:rPr>
          <w:lang w:val="el" w:eastAsia="el"/>
        </w:rPr>
        <w:t>13. Του π.δ. 40/2020 «Οργανισμός του Υπουργείου Ψηφιακής Διακυβέρνησης» (Α' 85).</w:t>
      </w:r>
    </w:p>
    <w:p>
      <w:pPr>
        <w:pStyle w:val="PreambelText"/>
        <w:spacing w:before="240" w:after="240"/>
        <w:rPr>
          <w:lang w:val="el" w:eastAsia="el"/>
        </w:rPr>
      </w:pPr>
      <w:r>
        <w:rPr>
          <w:lang w:val="el" w:eastAsia="el"/>
        </w:rPr>
        <w:t>14. 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PreambelText"/>
        <w:spacing w:before="240" w:after="240"/>
        <w:rPr>
          <w:lang w:val="el" w:eastAsia="el"/>
        </w:rPr>
      </w:pPr>
      <w:r>
        <w:rPr>
          <w:lang w:val="el" w:eastAsia="el"/>
        </w:rPr>
        <w:t>15. Της υπό στοιχεία Υ6/9-7-2019 απόφασης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16. Της υπ' αρ. 202931/16.04.2021 απόφασης του Πρωθυπουργού και του Υπουργού Εργασίας και Κοινωνικών Υποθέσεων «Ανάθεση αρμοδιοτήτων στην Υφυπουργό Εργασίας και Κοινωνικών Υποθέσεων, Μαρία Συρεγγέλα» (Β' 1580).</w:t>
      </w:r>
    </w:p>
    <w:p>
      <w:pPr>
        <w:pStyle w:val="PreambelText"/>
        <w:spacing w:before="240" w:after="240"/>
        <w:rPr>
          <w:lang w:val="el" w:eastAsia="el"/>
        </w:rPr>
      </w:pPr>
      <w:r>
        <w:rPr>
          <w:lang w:val="el" w:eastAsia="el"/>
        </w:rPr>
        <w:t>17.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18. Την υπό στοιχεία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19. Της υπό στοιχεία 38428 ΕΞ 29-10-2021 υπουργικής απόφασης «Κανόνες για την παροχή ψηφιακών δημόσιων υπηρεσιών» (Β' 5231).</w:t>
      </w:r>
    </w:p>
    <w:p>
      <w:pPr>
        <w:pStyle w:val="PreambelText"/>
        <w:spacing w:before="240" w:after="240"/>
        <w:rPr>
          <w:lang w:val="el" w:eastAsia="el"/>
        </w:rPr>
      </w:pPr>
      <w:r>
        <w:rPr>
          <w:lang w:val="el" w:eastAsia="el"/>
        </w:rPr>
        <w:t>20. Της υπό στοιχεία 780101 ΕΞ 2020 υπουργικής απόφασης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21. Της υπ' αρ. 110668/22.11.2022 απόφασης της Υφυπουργού Εργασίας και Κοινωνικών Υποθέσεων «Αποδοχή δωρεάς προς το Ελληνικό Δημόσιο, Υπουργείο Εργασίας και Κοινωνικών Υποθέσεων, Γενική Γραμματεία Δημογραφικής και Οικογενειακής Πολιτικής και Ισότητας των Φύλων» (Β' 5971).</w:t>
      </w:r>
    </w:p>
    <w:p>
      <w:pPr>
        <w:pStyle w:val="PreambelText"/>
        <w:spacing w:before="240" w:after="240"/>
        <w:rPr>
          <w:lang w:val="el" w:eastAsia="el"/>
        </w:rPr>
      </w:pPr>
      <w:r>
        <w:rPr>
          <w:lang w:val="el" w:eastAsia="el"/>
        </w:rPr>
        <w:t>22. Της υπ' αρ. 111367/23.11.2022 εισηγητικής έκθεσης οικονομικών επιπτώσεων σύμφωνα με την παρ. 5 του άρθρου 24 του ν. 4270/2014 (Α' 143), της ΓΔΟΥ Υπουργείου Εργασίας και Κοινωνικών Υποθέσεων.</w:t>
      </w:r>
    </w:p>
    <w:p>
      <w:pPr>
        <w:pStyle w:val="PreambelText"/>
        <w:spacing w:before="240" w:after="240"/>
        <w:rPr>
          <w:lang w:val="el" w:eastAsia="el"/>
        </w:rPr>
      </w:pPr>
      <w:r>
        <w:rPr>
          <w:lang w:val="el" w:eastAsia="el"/>
        </w:rPr>
        <w:t>Β. Το γεγονός ότι από τις διατάξεις της παρούσας απόφασης δεν προκαλείται επιπλέον οικονομική επιβάρυνση στον κρατικό προϋπολογισμό, πέρα αυτής που έχει εκτιμηθεί στην υπ' αρ. 106227/10-11- 2022 εισηγητική έκθεση της ΓΔΟΥ Υπουργείου Εργασίας και Κοινωνικών Υποθέσεων, ήτοι ότι από την πιλοτική λειτουργία του Προγράμματος «Κόμβιον Πανικού» (Panic Button) δεν επιβαρύνεται ο τακτικός προϋπολογισμός του Υπουργείου Εργασίας και Κοινωνικών Υποθέσεων, επειδή η εγκατάσταση και η εφαρμογή του του πιλοτικού προγράμματος παρέχεται δωρεάν,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της παρούσας καθορίζονται τα ειδικότερα θέματα και οι λεπτομέρειες της πιλοτικής λειτουργίας του Προγράμματος «Κομβίον Πανικού» (Panic Button), που θεσπίστηκε με το άρθρο 19 του ν. 4995/2022 (Α' 216).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νοούνται:</w:t>
      </w:r>
    </w:p>
    <w:p>
      <w:pPr>
        <w:spacing w:before="240" w:after="240"/>
        <w:rPr>
          <w:lang w:val="el" w:eastAsia="el"/>
        </w:rPr>
      </w:pPr>
      <w:r>
        <w:rPr>
          <w:lang w:val="el" w:eastAsia="el"/>
        </w:rPr>
        <w:t>α. Πρόγραμμα «Κομβίον Πανικού» (Panic Button): το πρόγραμμα αξιοποίησης της ψηφιακής εφαρμογής «ΚΟΜΒΙΟΝ ΠΑΝΙΚΟΥ» (Panic Button) της παρ. 1 του άρθρου 19 του ν. 4995/2022 (Α' 216), μέσω της οποίας παρέχεται η δυνατότητα άμεσης ειδοποίησης της Ελληνικής Αστυνομίας, σε περίπτωση περιστατικών ενδοοικογενειακής βίας που συνδέονται με απειλή ή κίνδυνο ζωής ή της σωματικής ακεραιότητας του προσώπου που την χρησιμοποιεί.</w:t>
      </w:r>
    </w:p>
    <w:p>
      <w:pPr>
        <w:spacing w:before="240" w:after="240"/>
        <w:rPr>
          <w:lang w:val="el" w:eastAsia="el"/>
        </w:rPr>
      </w:pPr>
      <w:r>
        <w:rPr>
          <w:lang w:val="el" w:eastAsia="el"/>
        </w:rPr>
        <w:t>β. Δικαιούχοι εγγραφής στην εφαρμογή “ΚΟΜΒΙΟΝ ΠΑΝΙΚΟΥ” (Panic Button): τα ενήλικα θύματα ενδοοικογενειακής βίας, ως αυτά ορίζονται στην παρ. 3 του άρθρου 1 του ν. 3500/2006 (Α’ 232), που διαμένουν στην ελληνική επικράτεια.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Εγγεγραμμένα πρόσωπα: οι δικαιούχοι που, κατόπιν αιτήσεώς τους προς τις αρμόδιες υπηρεσίες του άρθρου 4 της παρούσας, εγγράφονται στην εφαρμογή και την εγκαθιστούν στο κινητό τηλέφωνό τους.</w:t>
      </w:r>
    </w:p>
    <w:p>
      <w:pPr>
        <w:spacing w:before="240" w:after="240"/>
        <w:rPr>
          <w:lang w:val="el" w:eastAsia="el"/>
        </w:rPr>
      </w:pPr>
      <w:r>
        <w:rPr>
          <w:lang w:val="el" w:eastAsia="el"/>
        </w:rPr>
        <w:t>δ. Συμβουλευόμενα άτομα: οι γυναίκες θύματα ενδοοικογενειακής βίας οι οποίες απευθύνονται για υποστήριξη σε Συμβουλευτικό Κέντρο του Δικτύου Δομών της Γενικής Γραμματείας Ισότητας και Ανθρωπίνων Δικαιωμάτων (Γ.Γ.Ι.Α.Δ.).</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ε. Αριθμητικός κωδικός για την είσοδο και την εγγραφή των δικαιούχων στην εφαρμογή «ΚΟΜΒΙΟΝ ΠΑΝΙΚΟΥ» (Panic Button): ο μοναδικός αριθμός μίας χρήσης, ο οποίος παράγεται από τη βάση δεδομένων με την ονομασία «ΚΟΜΒΙΟΝ ΠΑΝΙΚΟΥ» (Panic Button) του άρθρου 8 της παρούσας, προκειμένου να εξασφαλιστεί η εγγραφή στην εφαρμογή και η χρήση αυτής μόνο από τις δικαιούχους των άρθρων 5 και 6 της παρούσας.</w:t>
      </w:r>
    </w:p>
    <w:p>
      <w:pPr>
        <w:spacing w:before="240" w:after="240"/>
        <w:rPr>
          <w:lang w:val="el" w:eastAsia="el"/>
        </w:rPr>
      </w:pPr>
      <w:r>
        <w:rPr>
          <w:lang w:val="el" w:eastAsia="el"/>
        </w:rPr>
        <w:t>Οι αριθμητικοί κωδικοί διατίθενται:</w:t>
      </w:r>
    </w:p>
    <w:p>
      <w:pPr>
        <w:spacing w:before="240" w:after="240"/>
        <w:rPr>
          <w:lang w:val="el" w:eastAsia="el"/>
        </w:rPr>
      </w:pPr>
      <w:r>
        <w:rPr>
          <w:lang w:val="el" w:eastAsia="el"/>
        </w:rPr>
        <w:t>i. σε εξουσιοδοτημένους υπαλλήλους της Ελληνικής Αστυνομίας, με άντλησή τους από πληροφοριακό σύστημα της Ελληνικής Αστυνομίας, μέσω του Κέντρου Διαλειτουργικότητας της Γενικής Γραμματείας Πληροφοριακών Συστημάτων Δημόσιας Διοίκησης (Γ.Γ.Π.Σ.Δ.Δ.) του Υπουργείου Ψηφιακής Διακυβέρνησης.</w:t>
      </w:r>
    </w:p>
    <w:p>
      <w:pPr>
        <w:spacing w:before="240" w:after="240"/>
        <w:rPr>
          <w:lang w:val="el" w:eastAsia="el"/>
        </w:rPr>
      </w:pPr>
      <w:r>
        <w:rPr>
          <w:lang w:val="el" w:eastAsia="el"/>
        </w:rPr>
        <w:t>ii. σε εξουσιοδοτημένους υπαλλήλους των Συμβουλευτικών Κέντρων του Δικτύου Δομών της Γ.Γ.Ι.Α.Δ., μέσω ηλεκτρονικής εφαρμογής της Γ.Γ.Π.Σ.Ψ.Δ., στην οποία οι εξουσιοδοτημένοι υπάλληλοι έχουν πρόσβαση, κατόπιν αυθεντικοποίησής τους με κωδικούς Δημόσιας Διοίκησης.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στ. Εξουσιοδοτημένοι υπάλληλοι: οι υπάλληλοι που ορίζονται από τις υπηρεσίες του άρθρου 4 της παρούσας, στους οποίους διατίθενται οι αριθμητικοί κωδικοί της περ. ε' του παρόντος, για την εγγραφή των δικαιούχων στην εφαρμογή «ΚΟΜΒΙΟΝ ΠΑΝΙΚΟΥ» (Panic Button).</w:t>
      </w:r>
    </w:p>
    <w:p>
      <w:pPr>
        <w:spacing w:before="240" w:after="240"/>
        <w:rPr>
          <w:lang w:val="el" w:eastAsia="el"/>
        </w:rPr>
      </w:pPr>
      <w:r>
        <w:rPr>
          <w:lang w:val="el" w:eastAsia="el"/>
        </w:rPr>
        <w:t>ζ. Βάση δεδομένων της εφαρμογής «Κομβίον Πανικού» (Panic Button Database).: η βάση δεδομένων που τηρείται στη Γ.Γ.Π.Σ.Δ.Δ. και ενημερώνεται μέσω του Κέντρου Διαλειτουργικότητας της Γ.Γ.Π.Σ.Δ.Δ. από την εφαρμογή «ΚΟΜΒΙΟΝ ΠΑΝΙΚΟΥ» (Panic Button). Επιπρόσθετα στη βάση δεδομένων παράγονται και τηρούνται οι αριθμητικοί κωδικοί της περ. ε'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Ψηφιακή εφαρμογή «Κομβίον Πανικού» (Panic Button)</w:t>
      </w:r>
    </w:p>
    <w:p>
      <w:pPr>
        <w:pStyle w:val="MainText"/>
        <w:spacing w:before="120" w:after="0"/>
        <w:rPr>
          <w:lang w:val="el" w:eastAsia="el"/>
        </w:rPr>
      </w:pPr>
      <w:r>
        <w:rPr>
          <w:b/>
          <w:bCs/>
          <w:lang w:val="el" w:eastAsia="el"/>
        </w:rPr>
        <w:t>1.</w:t>
      </w:r>
      <w:r>
        <w:rPr>
          <w:lang w:val="el" w:eastAsia="el"/>
        </w:rPr>
        <w:t xml:space="preserve"> Στα πλαίσια υλοποίησης του Προγράμματος «Κομβίον Πανικού» του άρθρου 19 του ν. 4995/2022 (Α’ 216), λειτουργεί από την Γ.Γ.Ι.Α.Δ. του Υπουργείου Κοινωνικής Συνοχής και Οικογένειας, η ψηφιακή εφαρμογή «ΚΟΜΒΙΟΝ ΠΑΝΙΚΟΥ» (Panic Button) (application), η οποία αναπτύχθηκε από την ανώνυμη εταιρεία με την επωνυμία «VODAFONE ΠΑΝΑΦΟΝ Ανώνυμη Ελληνική Εταιρεία Τηλεπικοινωνιών.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εφαρμογή «ΚΟΜΒΙΟΝ ΠΑΝΙΚΟΥ» (Panic Button) αποτελείται από τα εξής συστήματα:</w:t>
      </w:r>
    </w:p>
    <w:p>
      <w:pPr>
        <w:spacing w:before="240" w:after="240"/>
        <w:rPr>
          <w:lang w:val="el" w:eastAsia="el"/>
        </w:rPr>
      </w:pPr>
      <w:r>
        <w:rPr>
          <w:lang w:val="el" w:eastAsia="el"/>
        </w:rPr>
        <w:t>α.εφαρμογή για κινητά τηλέφωνα έξυπνης τεχνολογίας (smartphones) με λογισμικό Android,</w:t>
      </w:r>
    </w:p>
    <w:p>
      <w:pPr>
        <w:spacing w:before="240" w:after="240"/>
        <w:rPr>
          <w:lang w:val="el" w:eastAsia="el"/>
        </w:rPr>
      </w:pPr>
      <w:r>
        <w:rPr>
          <w:lang w:val="el" w:eastAsia="el"/>
        </w:rPr>
        <w:t>β. εφαρμογή για κινητά τηλέφωνα έξυπνης τεχνολογίας (smartphones) με λογισμικό Ios και</w:t>
      </w:r>
    </w:p>
    <w:p>
      <w:pPr>
        <w:spacing w:before="240" w:after="240"/>
        <w:rPr>
          <w:lang w:val="el" w:eastAsia="el"/>
        </w:rPr>
      </w:pPr>
      <w:r>
        <w:rPr>
          <w:lang w:val="el" w:eastAsia="el"/>
        </w:rPr>
        <w:t>γ. Διακομιστή Μεσολάβησης (proxy server).</w:t>
      </w:r>
    </w:p>
    <w:p>
      <w:pPr>
        <w:spacing w:before="240" w:after="240"/>
        <w:rPr>
          <w:lang w:val="el" w:eastAsia="el"/>
        </w:rPr>
      </w:pPr>
      <w:r>
        <w:rPr>
          <w:lang w:val="el" w:eastAsia="el"/>
        </w:rPr>
        <w:t>Τα συστήματα της εφαρμογής επικοινωνούν με τα συστήματα της Γ.Γ.Π.Σ.Δ.Δ. του άρθρου 8 της παρούσας, για τους σκοπούς λειτουργίας του Προγράμματος «Κομβίον Πανικού».</w:t>
      </w:r>
    </w:p>
    <w:p>
      <w:pPr>
        <w:pStyle w:val="MainText"/>
        <w:spacing w:before="120" w:after="0"/>
        <w:rPr>
          <w:lang w:val="el" w:eastAsia="el"/>
        </w:rPr>
      </w:pPr>
      <w:r>
        <w:rPr>
          <w:b/>
          <w:bCs/>
          <w:lang w:val="el" w:eastAsia="el"/>
        </w:rPr>
        <w:t>2.</w:t>
      </w:r>
      <w:r>
        <w:rPr>
          <w:lang w:val="el" w:eastAsia="el"/>
        </w:rPr>
        <w:t xml:space="preserve"> Η εφαρμογή εγκαθίσταται, μέσω ενός μοναδικού δημόσιου συνδέσμου (public url), σε συνδυασμό με την καταχώριση του αριθμητικού κωδικού της περ. ε' του άρθρου 2 της παρούσας, σε κινητά τηλέφωνα έξυπνης τεχνολογίας (smartphones), που υποστηρίζουν λογισμικά android και ios, ανεξαρτήτως του παρόχου κινητής τηλεφωνίας με τον οποίο είναι συμβαλλόμενο το εγγεγραμμένο πρόσωπο.</w:t>
      </w:r>
    </w:p>
    <w:p>
      <w:pPr>
        <w:pStyle w:val="MainText"/>
        <w:spacing w:before="120" w:after="0"/>
        <w:rPr>
          <w:lang w:val="el" w:eastAsia="el"/>
        </w:rPr>
      </w:pPr>
      <w:r>
        <w:rPr>
          <w:b/>
          <w:bCs/>
          <w:lang w:val="el" w:eastAsia="el"/>
        </w:rPr>
        <w:t>3.</w:t>
      </w:r>
      <w:r>
        <w:rPr>
          <w:lang w:val="el" w:eastAsia="el"/>
        </w:rPr>
        <w:t xml:space="preserve"> Μετά την επιτυχή ολοκλήρωση της διαδικασίας εγγραφής στην εφαρμογή σύμφωνα με το άρθρο 7 της παρούσας, το εγγεγραμμένο πρόσωπο έχει την δυνατότητα να ειδοποιεί την Διεύθυνση Άμεσης Δράσης Αττικής («100»), με την επιλογή της οικείας ένδειξης στην οθόνη του κινητού τηλεφώνου του, σε περίπτωση περιστατικού ενδοοικογενειακής βίας, που συνδέεται με άμεσο κίνδυνο ή με απειλή κινδύνου της ζωής του ή της σωματικής ακεραιότητάς του. Η Διεύθυνση Άμεσης Δράσης Αττικής ενημερώνει άμεσα την αντίστοιχη Υπηρεσία της οικείας Διεύθυνσης Αστυνομίας ανά την ελληνική επικράτεια. Στην περίπτωση που δεν υπάρχει Υπηρεσία Άμεσης Δράσης στις κατά τόπους Διευθύνσεις Αστυνομίας, η ενημέρωση γίνεται προς το Αστυνομικό Τμήμα της οικείας Διεύθυνσης Αστυνομίας.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 υπηρεσίες για τη χορήγηση της εφαρμογής «ΚΟΜΒΙΟΝ ΠΑΝΙΚΟΥ (Panic Button)»</w:t>
      </w:r>
    </w:p>
    <w:p>
      <w:pPr>
        <w:spacing w:before="240" w:after="240"/>
        <w:rPr>
          <w:lang w:val="el" w:eastAsia="el"/>
        </w:rPr>
      </w:pPr>
      <w:r>
        <w:rPr>
          <w:lang w:val="el" w:eastAsia="el"/>
        </w:rPr>
        <w:t>Η εφαρμογή «Κομβίον Πανικού» (Panic Button) χορηγείται στους δικαιούχους από: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 Τα Γραφεία Αντιμετώπισης Ενδοοικογενειακής Βίας των Υποδιευθύνσεων Αστυνομίας και των Αστυνομικών Τμημάτων όπου αυτά λειτουργούν και όπου αυτά δεν λειτουργούν από το σύνολο των Αστυνομικών Τμημάτων ανά την ελληνική επικράτεια.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Τις Υποδιευθύνσεις Ασφαλείας και τα Τμήματα Ασφαλείας ανά την ελληνική επικράτεια.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Τα Συμβουλευτικά Κέντρα του Δικτύου Δομών της Γενικής Γραμματείας Ισότητας και Ανθρωπίνων Δικαιωμάτων (Γ.Γ.Ι.Α.Δ.) του Υπουργείου Κοινωνικής Συνοχής και Οικογένειας.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Προϋποθέσεις και διαδικασία χορήγησης της εφαρμογής «ΚΟΜΒΙΟΝ ΠΑΝΙΚΟΥ (Panic Button) από τις αρμόδιες αστυνομικές αρχές</w:t>
      </w:r>
    </w:p>
    <w:p>
      <w:pPr>
        <w:pStyle w:val="MainText"/>
        <w:spacing w:before="120" w:after="0"/>
        <w:rPr>
          <w:lang w:val="el" w:eastAsia="el"/>
        </w:rPr>
      </w:pPr>
      <w:r>
        <w:rPr>
          <w:b/>
          <w:bCs/>
          <w:lang w:val="el" w:eastAsia="el"/>
        </w:rPr>
        <w:t>1.</w:t>
      </w:r>
      <w:r>
        <w:rPr>
          <w:lang w:val="el" w:eastAsia="el"/>
        </w:rPr>
        <w:t xml:space="preserve"> Οι αρμόδιες αστυνομικές αρχές, που επιλαμβάνονται καταγγελίας για ενδοοικογενειακή βία, ενημερώνουν τους δικαιούχους για τη δυνατότητα να εγκαταστήσουν στο κινητό τηλέφωνό τους την εφαρμογή «ΚΟΜΒΙΟΝ ΠΑΝΙΚΟΥ (Panic Button)», καθώς και για τη διαδικασία και τους όρους εγκατάστασης και χρήσης αυτής.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Σε περίπτωση που οι δικαιούχοι επιθυμούν να εγγραφούν στην εφαρμογή, τους αποδίδεται από τον εξουσιοδοτημένο υπάλληλο, ο μοναδικός δημόσιος σύνδεσμος (public url) και ο αριθμητικός κωδικός για την είσοδό τους και την εκτέλεση της διαδικασίας εγκατάστασης της εφαρμογής.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Η εφαρμογή απεγκαθίσταται από το κινητό τηλέφωνο από το ίδιο το εγγεγραμμένο πρόσωπο, όποτε το επιθυμεί.</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Προϋποθέσεις και διαδικασία χορήγησης της εφαρμογής «ΚΟΜΒΙΟΝ ΠΑΝΙΚΟΥ (Panic Button)» από τα Συμβουλευτικά Κέντρα του Δικτύου Δομών της Γ.Γ.Ι.Α.Δ.</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Οι γυναίκες θύματα ενδοοικογενειακής βίας, που απευθύνονται σε Συμβουλευτικό Κέντρο του Δικτύου Δομών της Γ.Γ.Ι.Α.Δ. για παροχή υπηρεσιών κοινωνικής, ψυχολογικής και νομικής υποστήριξης, ενημερώνονται από τον/την κατά περίπτωση αρμόδιο/α σύμβουλο, εφόσον εκτιμηθεί ότι συντρέχουν παράγοντες σοβαρού κινδύνου βίας, για τη δυνατότητα να τους χορηγηθεί η εφαρμογή «ΚΟΜΒΙΟΝ ΠΑΝΙΚΟΥ (Panic Button)», καθώς και για τη διαδικασία και τους όρους εγκατάστασης και χρήσης αυτής.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Εάν το συμβουλευόμενο άτομο της παρ. 1 δηλώσει ότι επιθυμεί να εγγραφεί στην εφαρμογή, συμπληρώνει και υπογράφει αίτηση, με την οποία ζητά την εγγραφή του και την εγκατάσταση της εφαρμογής στο κινητό τηλέφωνο που το ίδιο υποδεικνύει. Ο/Η εξουσιοδοτημένος/η υπάλληλος του Συμβουλευτικού Κέντρου αποδίδει στο συμβουλευόμενο άτομο τον μοναδικό δημόσιο σύνδεσμο (public url) και τον αριθμητικό κωδικό για την είσοδό του στην εφαρμογή και την εκτέλεση της διαδικασίας εγκατάστασης στο κινητό τηλέφωνο.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Η συμπληρωμένη και υπογεγραμμένη αίτηση φυλάσσεται από τον/την αρμόδιο/α σύμβουλο σε ξεχωριστό φάκελο από τον ατομικό φάκελο του συμβουλευόμενου ατόμου.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Η εφαρμογή «ΚΟΜΒΙΟΝ ΠΑΝΙΚΟΥ (Panic Button)» παραμένει στη διάθεση του συμβουλευόμενου ατόμου και μετά τη διακοπή ή τη λήξη της συμβουλευτικής διαδικασίας και απεγκαθίσταται από το κινητό τηλέφωνο από το ίδιο, όποτε το επιθυμεί.</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εγγραφής στην εφαρμογή «ΚΟΜΒΙΟΝ ΠΑΝΙΚΟΥ (Panic Button)».</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Η εγγραφή των δικαιούχων στην εφαρμογή «ΚΟΜΒΙΟΝ ΠΑΝΙΚΟΥ» (Panic Button) γίνεται μέσω του μοναδικού δημόσιου συνδέσμου (public url) που έχει παραχθεί για τον σκοπό αυτό, ο οποίος διατίθεται στους δικαιούχους, μαζί με τον αριθμητικό κωδικό, από τον εξουσιοδοτημένο υπάλληλο των Υπηρεσιών του άρθρου 4.</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Για την ολοκλήρωση της εγγραφής στην εφαρμογή, οι δικαιούχοι συμπληρώνουν τα εξής πεδία:</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w:t>
      </w:r>
    </w:p>
    <w:p>
      <w:pPr>
        <w:spacing w:before="240" w:after="240"/>
        <w:rPr>
          <w:lang w:val="el" w:eastAsia="el"/>
        </w:rPr>
      </w:pPr>
      <w:r>
        <w:rPr>
          <w:lang w:val="el" w:eastAsia="el"/>
        </w:rPr>
        <w:t>α. Αριθμητικός Κωδικός.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w:t>
      </w:r>
    </w:p>
    <w:p>
      <w:pPr>
        <w:spacing w:before="240" w:after="240"/>
        <w:rPr>
          <w:lang w:val="el" w:eastAsia="el"/>
        </w:rPr>
      </w:pPr>
      <w:r>
        <w:rPr>
          <w:lang w:val="el" w:eastAsia="el"/>
        </w:rPr>
        <w:t xml:space="preserve">β. Αριθμός Μητρώου Κοινωνικής Ασφάλισης (ΑΜΚΑ).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w:t>
      </w:r>
    </w:p>
    <w:p>
      <w:pPr>
        <w:spacing w:before="240" w:after="240"/>
        <w:rPr>
          <w:lang w:val="el" w:eastAsia="el"/>
        </w:rPr>
      </w:pPr>
      <w:r>
        <w:rPr>
          <w:lang w:val="el" w:eastAsia="el"/>
        </w:rPr>
        <w:t>γ. Ονοματεπώνυμο.</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spacing w:before="240" w:after="240"/>
        <w:rPr>
          <w:lang w:val="el" w:eastAsia="el"/>
        </w:rPr>
      </w:pPr>
      <w:r>
        <w:rPr>
          <w:lang w:val="el" w:eastAsia="el"/>
        </w:rPr>
        <w:t>δ. Αριθμός Κινητού Τηλεφώνου.</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w:t>
      </w:r>
    </w:p>
    <w:p>
      <w:pPr>
        <w:spacing w:before="240" w:after="240"/>
        <w:rPr>
          <w:lang w:val="el" w:eastAsia="el"/>
        </w:rPr>
      </w:pPr>
      <w:r>
        <w:rPr>
          <w:lang w:val="el" w:eastAsia="el"/>
        </w:rPr>
        <w:t>ε. Διεύθυνση κατοικίας και όροφος.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spacing w:before="240" w:after="240"/>
        <w:rPr>
          <w:lang w:val="el" w:eastAsia="el"/>
        </w:rPr>
      </w:pPr>
      <w:r>
        <w:rPr>
          <w:lang w:val="el" w:eastAsia="el"/>
        </w:rPr>
        <w:t xml:space="preserve">στ. Όνομα που αναγράφεται στο κουδούνι της κατοικία.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w:t>
      </w:r>
    </w:p>
    <w:p>
      <w:pPr>
        <w:spacing w:before="240" w:after="240"/>
        <w:rPr>
          <w:lang w:val="el" w:eastAsia="el"/>
        </w:rPr>
      </w:pPr>
      <w:r>
        <w:rPr>
          <w:lang w:val="el" w:eastAsia="el"/>
        </w:rPr>
        <w:t>ζ. Ιστορικό περιστατικών κακοποίησης.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w:t>
      </w:r>
    </w:p>
    <w:p>
      <w:pPr>
        <w:spacing w:before="240" w:after="240"/>
        <w:rPr>
          <w:lang w:val="el" w:eastAsia="el"/>
        </w:rPr>
      </w:pPr>
      <w:r>
        <w:rPr>
          <w:lang w:val="el" w:eastAsia="el"/>
        </w:rPr>
        <w:t xml:space="preserve">η. Ένδειξη κατοχής όπλου από τον/την θύτη.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w:t>
      </w:r>
    </w:p>
    <w:p>
      <w:pPr>
        <w:spacing w:before="240" w:after="240"/>
        <w:rPr>
          <w:lang w:val="el" w:eastAsia="el"/>
        </w:rPr>
      </w:pPr>
      <w:r>
        <w:rPr>
          <w:lang w:val="el" w:eastAsia="el"/>
        </w:rPr>
        <w:t>θ. Ένδειξη ύπαρξης τέκνων.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w:t>
      </w:r>
    </w:p>
    <w:p>
      <w:pPr>
        <w:spacing w:before="240" w:after="240"/>
        <w:rPr>
          <w:lang w:val="el" w:eastAsia="el"/>
        </w:rPr>
      </w:pPr>
      <w:r>
        <w:rPr>
          <w:lang w:val="el" w:eastAsia="el"/>
        </w:rPr>
        <w:t>ι. Ένδειξη ύπαρξης ιστορικού εξαρτήσεων από ουσίες του/της θύτη.</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w:t>
      </w:r>
    </w:p>
    <w:p>
      <w:pPr>
        <w:spacing w:before="240" w:after="240"/>
        <w:rPr>
          <w:lang w:val="el" w:eastAsia="el"/>
        </w:rPr>
      </w:pPr>
      <w:r>
        <w:rPr>
          <w:lang w:val="el" w:eastAsia="el"/>
        </w:rPr>
        <w:t>ια. Ένδειξη ύπαρξης ιστορικού ψυχολογικών διαταραχών του/της θύτη.</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w:t>
      </w:r>
    </w:p>
    <w:p>
      <w:pPr>
        <w:spacing w:before="240" w:after="240"/>
        <w:rPr>
          <w:lang w:val="el" w:eastAsia="el"/>
        </w:rPr>
      </w:pPr>
      <w:r>
        <w:rPr>
          <w:lang w:val="el" w:eastAsia="el"/>
        </w:rPr>
        <w:t>ιβ. Ένδειξη εγκυμοσύνης θύματος.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Οι δικαιούχοι καταχωρούν και κάθε άλλη απαραίτητη πληροφορία που μπορεί να ζητείται, στα πλαίσια της εκπλήρωσης του σκοπού της εφαρμογής.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διαδικασία εγγραφής και καταχώρισης των απαιτούμενων προσωπικών στοιχείων γίνεται με ευθύνη των δικαιούχων, οι οποίοι παρέχουν ρητή συναίνεση στους όρους χρήσης της εφαρμογής.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εγγραφή στην εφαρμογή ολοκληρώνεται επιτυχώς μετά την ταυτοποίηση των δικαιούχων μέσω του αριθμού Μητρώου κοινωνικής ασφάλισης (ΑΜΚΑ) που έχουν καταχωρίσει.</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επιτυχής ολοκλήρωση της διαδικασίας εγγραφής περιλαμβάνει την αποθήκευση των προσωπικών στοιχείων των δικαιούχων στο κινητό τηλέφωνο, στο οποίο εγκαθίσταται η εφαρμογή και στη βάση δεδομένων του άρθρου 8 της παρούσας.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Κάθε φορά που το εγγεγραμμένο πρόσωπο επιλέγει την οικεία ένδειξη στην οθόνη του κινητού τηλεφώνου του, η εφαρμογή ενεργοποιείται και αποστέλλεται αυτοματοποιημένο γραπτό μήνυμα, τύπου «sms» στο Κέντρο Επιχειρήσεων της Διεύθυνσης Άμεσης Δράσης Αττικής, με τις απαραίτητες εξατομικευμένες πληροφορίες του εγγεγραμμένου προσώπου, που βρίσκονται καταχωρημένες ως δεδομένα της εφαρμογής στο κινητό τηλέφωνο και στη βάση δεδομένων του άρθρου 8 της παρούσας, καθώς και σύνδεσμος με τη θέση γεωεντοπισμού του, όπως αυτή εμφανίζεται κατά τον χρόνο ενεργοποίησης της εφαρμογής.</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Βάση δεδομένων με την ονομασία «ΚΟΜΒΙΟΝ ΠΑΝΙΚΟΥ» (Panic Button) στη Γενική Γραμματεία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Τηρείται και λειτουργεί στη Γενική Γραμματεία Πληροφοριακών Συστημάτων Δημόσιας Διοίκησης (Γ.Γ.Π.Σ.Δ.Δ.) του Υπουργείου Ψηφιακής Διακυβέρνησης βάση δεδομένων με την ονομασία «ΚΟΜΒΙΟΝ ΠΑΝΙΚΟΥ» (Panic Button).</w:t>
      </w:r>
    </w:p>
    <w:p>
      <w:pPr>
        <w:pStyle w:val="MainText"/>
        <w:spacing w:before="120" w:after="0"/>
        <w:rPr>
          <w:lang w:val="el" w:eastAsia="el"/>
        </w:rPr>
      </w:pPr>
      <w:r>
        <w:rPr>
          <w:b/>
          <w:bCs/>
          <w:lang w:val="el" w:eastAsia="el"/>
        </w:rPr>
        <w:t>2.</w:t>
      </w:r>
      <w:r>
        <w:rPr>
          <w:lang w:val="el" w:eastAsia="el"/>
        </w:rPr>
        <w:t xml:space="preserve"> Στη βάση δεδομένων του παρόντος άρθρου καταχωρίζονται, κρυπτογραφημένα, τα στοιχεία της παρ. 2 του άρθρου 7.</w:t>
      </w:r>
    </w:p>
    <w:p>
      <w:pPr>
        <w:pStyle w:val="MainText"/>
        <w:spacing w:before="120" w:after="0"/>
        <w:rPr>
          <w:lang w:val="el" w:eastAsia="el"/>
        </w:rPr>
      </w:pPr>
      <w:r>
        <w:rPr>
          <w:b/>
          <w:bCs/>
          <w:lang w:val="el" w:eastAsia="el"/>
        </w:rPr>
        <w:t>3.</w:t>
      </w:r>
      <w:r>
        <w:rPr>
          <w:lang w:val="el" w:eastAsia="el"/>
        </w:rPr>
        <w:t xml:space="preserve"> Οι εξουσιοδοτημένοι υπάλληλοι που λαμβάνουν τους αριθμητικούς κωδικούς της περ. ε' του άρθρου 2 της παρούσας, που τηρούνται στη βάση δεδομένων της Γ.Γ.Π.Σ.Δ.Δ. οφείλουν να εφαρμόζουν το Πλαίσιο Ασφάλειας των Πληροφοριακών Συστημάτων της Γ.Γ.Π.Σ.Δ.Δ. του Υπουργείου Ψηφιακής Διακυβέρνησης και τις διατάξεις περί προστασίας δεδομένων προσωπικού χαρακτήρα, όπως κάθε φορά ισχύουν.</w:t>
      </w:r>
    </w:p>
    <w:p>
      <w:pPr>
        <w:pStyle w:val="MainText"/>
        <w:spacing w:before="120" w:after="0"/>
        <w:rPr>
          <w:lang w:val="el" w:eastAsia="el"/>
        </w:rPr>
      </w:pPr>
      <w:r>
        <w:rPr>
          <w:b/>
          <w:bCs/>
          <w:lang w:val="el" w:eastAsia="el"/>
        </w:rPr>
        <w:t>4.</w:t>
      </w:r>
      <w:r>
        <w:rPr>
          <w:lang w:val="el" w:eastAsia="el"/>
        </w:rPr>
        <w:t xml:space="preserve"> Επιπλέον για τη χρήση των διαδικτυακών υπηρεσιών μέσω του Κέντρου Διαλειτουργικότητας της Γ.Γ.Π.Σ.Δ.Δ. πρέπει να εφαρμόζεται η Πολιτική Ορθής Χρήσης διαδικτυακών υπηρεσιών του Κέντρου Διαλειτουργικότητας της Γ.Γ.Π.Σ.Δ.Δ. και να λαμβάνονται τα κατάλληλα τεχνικά και οργανωτικά μέτρα ασφάλειας πληροφοριών, ώστε: α) η χρήση τους να γίνεται αποκλειστικά και μόνο για την εξυπηρέτηση του σκοπού για τον οποίο έχει χορηγηθεί η πρόσβαση, β) να μην γίνεται κατάχρηση προκαλώντας υπερφόρτωση στο σύστημα και γ) να τηρούνται μυστικά τα διαπιστευτήρια πρόσβασης και να ειδοποιείται άμεσα η ΓΓΠΣΔΔ για τυχόν διαρροή τους.</w:t>
      </w:r>
    </w:p>
    <w:p>
      <w:pPr>
        <w:pStyle w:val="MainText"/>
        <w:spacing w:before="120" w:after="0"/>
        <w:rPr>
          <w:lang w:val="el" w:eastAsia="el"/>
        </w:rPr>
      </w:pPr>
      <w:r>
        <w:rPr>
          <w:b/>
          <w:bCs/>
          <w:lang w:val="el" w:eastAsia="el"/>
        </w:rPr>
        <w:t>5.</w:t>
      </w:r>
      <w:r>
        <w:rPr>
          <w:lang w:val="el" w:eastAsia="el"/>
        </w:rPr>
        <w:t xml:space="preserve"> Η ορθότητα των δεδομένων που συμπληρώνονται στη βάση δεδομένων δύναται να επαληθεύεται μετά από άντληση δεδομένων που τηρούνται στο Μητρώο ΑΜΚΑ της ΗΔΙΚΑ, στο Μητρώο Πολιτών του Υπουργείου Εσωτερικών και στο Μητρώο Αλλοδαπών του Υπουργείου Μετανάστευσης και Ασύλου μέσω του Κέντρου Διαλειτουργικότητας της Γ.Γ.Π.Σ.Δ.Δ.</w:t>
      </w:r>
    </w:p>
    <w:p>
      <w:pPr>
        <w:pStyle w:val="MainText"/>
        <w:spacing w:before="120" w:after="0"/>
        <w:rPr>
          <w:lang w:val="el" w:eastAsia="el"/>
        </w:rPr>
      </w:pPr>
      <w:r>
        <w:rPr>
          <w:b/>
          <w:bCs/>
          <w:lang w:val="el" w:eastAsia="el"/>
        </w:rPr>
        <w:t>6.</w:t>
      </w:r>
      <w:r>
        <w:rPr>
          <w:lang w:val="el" w:eastAsia="el"/>
        </w:rPr>
        <w:t xml:space="preserve"> Αρχεία πλήρους καταγραφής των ενεργειών χρήσης σε επίπεδο κεντρικών υπολογιστικών υποδομών, με σκοπό την ιχνηλάτηση σε περιπτώσεις ύποπτης ή παραβατικής συμπεριφοράς πιστοποιημένων ή μη χρηστών διατηρούνται για δέκα (10) έτη.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Προστασία Προσωπικών Δεδομένων</w:t>
      </w:r>
    </w:p>
    <w:p>
      <w:pPr>
        <w:pStyle w:val="MainText"/>
        <w:spacing w:before="120" w:after="0"/>
        <w:rPr>
          <w:lang w:val="el" w:eastAsia="el"/>
        </w:rPr>
      </w:pPr>
      <w:r>
        <w:rPr>
          <w:b/>
          <w:bCs/>
          <w:lang w:val="el" w:eastAsia="el"/>
        </w:rPr>
        <w:t>1.</w:t>
      </w:r>
      <w:r>
        <w:rPr>
          <w:lang w:val="el" w:eastAsia="el"/>
        </w:rPr>
        <w:t xml:space="preserve"> Από κοινού Υπεύθυνοι Επεξεργασίας των δεδομένων της βάσης δεδομένων του άρθρου 8 της παρούσας, για τον σκοπό παροχής της δυνατότητας άμεσης ειδοποίησης της Ελληνικής Αστυνομίας, σε περίπτωση κινδύνου ή απειλής κινδύνου της ζωής ή της σωματικής ακεραιότητας του προσώπου που χρησιμοποιεί την εφαρμογή, καθώς και για τα δεδομένα προσωπικού χαρακτήρα του άρθρου 7 της παρούσας για την εγγραφή στην εφαρμογή, είναι η Ελληνική Αστυνομία και η Γ.Γ.Ι.Α.Δ., κατά την έννοια της περ. 7 του άρθρου 4 και του πρώτου εδαφίου της παρ. 1 του άρθρου 26 του Γενικού Κανονισμού για την Προστασία Δεδομένων (Κανονισμός (ΕΕ) 2016/679 του Ευρωπαϊκού Κοινοβουλίου και του Συμβουλίου της 27ης Απριλίου 2016 [L119, Γ.Κ.Π.Δ.].</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Οι ανωτέρω δημόσιοι φορείς παρέχουν στο υποκείμενο των δεδομένων που χορηγούν την εφαρμογή τις πληροφορίες που αναφέρονται στο άρθρο 13 του Γ.Κ.Π.Δ. και εκπληρώνουν αμφότεροι τις υποχρεώσεις τους που απορρέουν από τον Γ.Κ.Π.Δ. και τον ν. 4624/2019 (Α’ 137), ιδίως όσον αφορά την άσκηση των δικαιωμάτων του υποκειμένου των δεδομένων.</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Με την επιλογή της οικείας ένδειξης στην οθόνη του κινητού τηλεφώνου του εγγεγραμμένου προσώπου και την ενεργοποίηση της εφαρμογής, η Ελληνική Αστυνομία αποκτά γνωστική πρόσβαση στα δεδομένα που αποστέλλονται στις καθ’ ύλην αρμόδιες Υπηρεσίες της, τα οποία επεξεργάζεται για δικό της λογαριασμό στο πλαίσιο της αποστολής της, ενώ η Γ.Γ.Ι.Α.Δ. αποκτά γνωστική πρόσβαση μόνο σε ανωνυμοποιημένα δεδομένα, όπως στον αριθμό δικαιούχων προσώπων που έλαβαν ή/και ενεργοποίησαν την εφαρμογή».</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Η Γ.Γ.Π.Σ.Ψ.Δ. είναι Εκτελούσα την Επεξεργασία για τον σκοπό της αποθήκευσης των δεδομένων στη βάση του άρθρου 8 της παρούσας, για λογαριασμό των Υπευθύνων Επεξεργασίας. Κατά την εκτέλεση της επεξεργασίας, η Γ.Γ.Π.Σ.Ψ.Δ. λαμβάνει όλα τα απαραίτητα τεχνικά και οργανωτικά μέτρα για την προστασία των δικαιωμάτων των προσώπων από την επεξεργασία των δεδομένων τους.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Η ανώνυμη εταιρεία με την επωνυμία «VODAFONE ΠΑΝΑΦΟΝ Ανώνυμη Ελληνική Εταιρεία Τηλεπικοινωνιών» ορίζεται ως Εκτελούσα την Επεξεργασία υπό τις προϋποθέσεις του άρθρου 28 του Γ.Κ.Π.Δ. Η Εκτελούσα την Επεξεργασία αναλαμβάνει, για λογαριασμό της Γ.Γ.Ι.Α.Δ. τον σχεδιασμό, την υλοποίηση και τη συντήρηση της ψηφιακής εφαρμογής «ΚΟΜΒΙΟΝ ΠΑΝΙΚΟΥ» (Panic Button), την υποχρέωση λήψης και διαρκούς τήρησης των κατάλληλων και αναγκαίων τεχνικών και οργανωτικών μέτρων ασφάλειας, σύμφωνα με το ενωσιακό και εθνικό δίκαιο και, ιδίως, σύμφωνα με τον Γ.Κ.Π.Δ. και τον ν. 4624/2019 (Α’ 137). Τα ειδικότερα τεχνικά και οργανωτικά μέτρα που αναλαμβάνει η Εκτελούσα την Επεξεργασία καθορίζονται με Σύμβαση Επεξεργασίας Προσωπικών Δεδομένων με την Γ.Γ.Ι.Α.Δ.</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lang w:val="el" w:eastAsia="el"/>
        </w:rPr>
        <w:t>ΜΑΡΙΑ ΣΥΡΕΓΓΕΛΑ</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Υπουργός 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ΥΚΟΙΣΟ/32276/2024 23.05.2024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