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lang w:val="el" w:eastAsia="el"/>
        </w:rPr>
        <w:t xml:space="preserve">2. </w:t>
      </w:r>
      <w:r>
        <w:rPr>
          <w:b/>
          <w:bCs/>
          <w:lang w:val="el" w:eastAsia="el"/>
        </w:rPr>
        <w:t>ΔΙΕΥΘΥΝΣΗ ΕΛΕΓΧΩΝ</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b/>
          <w:bCs/>
          <w:lang w:val="el" w:eastAsia="el"/>
        </w:rPr>
        <w:t>ΑΔΑ: 6ΓΙΨ46ΜΠ3Ζ-ΧΗΒ</w:t>
      </w:r>
    </w:p>
    <w:p>
      <w:pPr>
        <w:spacing w:before="240" w:after="240"/>
        <w:rPr>
          <w:lang w:val="el" w:eastAsia="el"/>
        </w:rPr>
      </w:pPr>
      <w:r>
        <w:rPr>
          <w:b/>
          <w:bCs/>
          <w:lang w:val="el" w:eastAsia="el"/>
        </w:rPr>
        <w:t>Αριθ. ΦΕΚ:Β΄6112/30.11.2022</w:t>
      </w:r>
    </w:p>
    <w:p>
      <w:pPr>
        <w:spacing w:before="240" w:after="240"/>
        <w:rPr>
          <w:lang w:val="el" w:eastAsia="el"/>
        </w:rPr>
      </w:pPr>
      <w:r>
        <w:rPr>
          <w:b/>
          <w:bCs/>
          <w:lang w:val="el" w:eastAsia="el"/>
        </w:rPr>
        <w:t>Αθήνα, 30.11.2022</w:t>
      </w:r>
    </w:p>
    <w:p>
      <w:pPr>
        <w:spacing w:before="240" w:after="240"/>
        <w:rPr>
          <w:lang w:val="el" w:eastAsia="el"/>
        </w:rPr>
      </w:pPr>
      <w:r>
        <w:rPr>
          <w:b/>
          <w:bCs/>
          <w:lang w:val="el" w:eastAsia="el"/>
        </w:rPr>
        <w:t>Α.1170</w:t>
      </w:r>
    </w:p>
    <w:p>
      <w:pPr>
        <w:spacing w:before="240" w:after="240"/>
        <w:rPr>
          <w:lang w:val="el" w:eastAsia="el"/>
        </w:rPr>
      </w:pPr>
      <w:r>
        <w:rPr>
          <w:b/>
          <w:bCs/>
          <w:lang w:val="el" w:eastAsia="el"/>
        </w:rPr>
        <w:t>II.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Καρ. Σερβίας 10 101 84 ΑΘΗΝΑ 213 2122400 210 4802400</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 xml:space="preserve">E-Mail </w:t>
      </w:r>
      <w:r>
        <w:rPr>
          <w:b/>
          <w:bCs/>
          <w:u w:val="single"/>
          <w:lang w:val="el" w:eastAsia="el"/>
        </w:rPr>
        <w:t>:</w:t>
      </w:r>
      <w:hyperlink r:id="rId4" w:history="1">
        <w:r>
          <w:rPr>
            <w:rStyle w:val="Hyperlink"/>
            <w:b/>
            <w:bCs/>
            <w:color w:val="0000EE"/>
            <w:u w:color="0000EE"/>
            <w:lang w:val="el" w:eastAsia="el"/>
          </w:rPr>
          <w:t xml:space="preserve">deef@aade </w:t>
        </w:r>
        <w:r>
          <w:rPr>
            <w:rStyle w:val="Hyperlink"/>
            <w:b/>
            <w:bCs/>
            <w:color w:val="0000EE"/>
            <w:u w:color="0000EE"/>
            <w:lang w:val="el" w:eastAsia="el"/>
          </w:rPr>
          <w:t xml:space="preserve">. </w:t>
        </w:r>
        <w:r>
          <w:rPr>
            <w:rStyle w:val="Hyperlink"/>
            <w:b/>
            <w:bCs/>
            <w:color w:val="0000EE"/>
            <w:u w:color="0000EE"/>
            <w:lang w:val="el" w:eastAsia="el"/>
          </w:rPr>
          <w:t>gr</w:t>
        </w:r>
      </w:hyperlink>
    </w:p>
    <w:p>
      <w:pPr>
        <w:spacing w:before="240" w:after="240"/>
        <w:rPr>
          <w:lang w:val="el" w:eastAsia="el"/>
        </w:rPr>
      </w:pPr>
      <w:hyperlink r:id="rId5" w:history="1">
        <w:r>
          <w:rPr>
            <w:rStyle w:val="Hyperlink"/>
            <w:b/>
            <w:bCs/>
            <w:color w:val="0000EE"/>
            <w:u w:color="0000EE"/>
            <w:lang w:val="el" w:eastAsia="el"/>
          </w:rPr>
          <w:t>d.eleg@aade.gr</w:t>
        </w:r>
      </w:hyperlink>
    </w:p>
    <w:p>
      <w:pPr>
        <w:spacing w:before="240" w:after="240"/>
        <w:rPr>
          <w:lang w:val="el" w:eastAsia="el"/>
        </w:rPr>
      </w:pPr>
      <w:r>
        <w:rPr>
          <w:b/>
          <w:bCs/>
          <w:u w:val="single"/>
          <w:lang w:val="el" w:eastAsia="el"/>
        </w:rPr>
        <w:t>Url :</w:t>
      </w:r>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«Τροποποίηση της υπό στοιχεία ΠΟΛ.1084/23.6.2016 απόφασης Γενικού Γραμματέα Δημοσίων Εσόδων, «Τύπος και περιεχόμενο του εντύπου της δήλωσης ΦΠΑ «050 – ΦΠΑ ΕΚΔΟΣΗ 2016, Φ2 TAXIS» (Β'1943).</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b/>
          <w:bCs/>
          <w:u w:val="single"/>
          <w:lang w:val="el" w:eastAsia="el"/>
        </w:rPr>
        <w:t>1. Τις διατάξεις: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του άρθρου 6 και της παρ.2 του άρθρου 18 του Κώδικα Φορολογικής Διαδικασίας (ν. 4987/2022, Α' 206),</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των αρθρων.36 και 38 του Κώδικα Φόρου Προστιθέμενης Αξίας (ν. 2859/2000 Α΄248),</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του άρθρου 15Α του ν. 4987/2022 «Κύρωση Κώδικα Φορολογικής Διαδικασίας.» (Α' 206), δ) του ν. 4308/2014 «Ελληνικά Λογιστικά Πρότυπα, συναφείς ρυθμίσεις και άλλες διατάξεις» (Α' 251).</w:t>
      </w:r>
    </w:p>
    <w:p>
      <w:pPr>
        <w:spacing w:before="240" w:after="240"/>
        <w:rPr>
          <w:lang w:val="el" w:eastAsia="el"/>
        </w:rPr>
      </w:pPr>
      <w:r>
        <w:rPr>
          <w:b/>
          <w:bCs/>
          <w:u w:val="single"/>
          <w:lang w:val="el" w:eastAsia="el"/>
        </w:rPr>
        <w:t xml:space="preserve">2. </w:t>
      </w:r>
      <w:r>
        <w:rPr>
          <w:b/>
          <w:bCs/>
          <w:u w:val="single"/>
          <w:lang w:val="el" w:eastAsia="el"/>
        </w:rPr>
        <w:t>Την υπό στοιχεία ΠΟΛ 1084/2016 απόφαση Γενικού Γραμματέα Δημοσίων Εσόδων « Τύπος και περιεχόμενο του εντύπου της δήλωσης ΦΠΑ «050 -ΦΠΑ ΕΚΔΟΣΗ 2016, Φ2 TAXIS» (Β' 1943).</w:t>
      </w:r>
    </w:p>
    <w:p>
      <w:pPr>
        <w:spacing w:before="240" w:after="240"/>
        <w:rPr>
          <w:lang w:val="el" w:eastAsia="el"/>
        </w:rPr>
      </w:pPr>
      <w:r>
        <w:rPr>
          <w:b/>
          <w:bCs/>
          <w:u w:val="single"/>
          <w:lang w:val="el" w:eastAsia="el"/>
        </w:rPr>
        <w:t xml:space="preserve">3. </w:t>
      </w:r>
      <w:r>
        <w:rPr>
          <w:b/>
          <w:bCs/>
          <w:u w:val="single"/>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spacing w:before="240" w:after="240"/>
        <w:rPr>
          <w:lang w:val="el" w:eastAsia="el"/>
        </w:rPr>
      </w:pPr>
      <w:r>
        <w:rPr>
          <w:b/>
          <w:bCs/>
          <w:u w:val="single"/>
          <w:lang w:val="el" w:eastAsia="el"/>
        </w:rPr>
        <w:t xml:space="preserve">4. </w:t>
      </w:r>
      <w:r>
        <w:rPr>
          <w:b/>
          <w:bCs/>
          <w:u w:val="single"/>
          <w:lang w:val="el" w:eastAsia="el"/>
        </w:rPr>
        <w:t>Την υπό στοιχεία Α.1171/2021 απόφαση του Διοικητή της Α.Α.Δ.Ε. «Διασύνδεση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 (Β' 3596).</w:t>
      </w:r>
    </w:p>
    <w:p>
      <w:pPr>
        <w:spacing w:before="240" w:after="240"/>
        <w:rPr>
          <w:lang w:val="el" w:eastAsia="el"/>
        </w:rPr>
      </w:pPr>
      <w:r>
        <w:rPr>
          <w:b/>
          <w:bCs/>
          <w:u w:val="single"/>
          <w:lang w:val="el" w:eastAsia="el"/>
        </w:rPr>
        <w:t xml:space="preserve">5. </w:t>
      </w:r>
      <w:r>
        <w:rPr>
          <w:b/>
          <w:bCs/>
          <w:u w:val="single"/>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 αρ. 39/3/30.11.2017 (Υ.Ο.Δ.Δ. 689) του Συμβουλίου Διοίκησης της Α.Α.Δ.Ε. και υπό στοιχεία 5294 ΕΞ 17-01-2020 (Υ.Ο.Δ.Δ. 27) του Υπουργού Οικονομικών με θέμα «Ανανέωση της θητείας του Διοικητή της Ανεξάρτητης Αρχής Δημοσίων Εσόδων». Εσόδων.»</w:t>
      </w:r>
    </w:p>
    <w:p>
      <w:pPr>
        <w:spacing w:before="240" w:after="240"/>
        <w:rPr>
          <w:lang w:val="el" w:eastAsia="el"/>
        </w:rPr>
      </w:pPr>
      <w:r>
        <w:rPr>
          <w:b/>
          <w:bCs/>
          <w:u w:val="single"/>
          <w:lang w:val="el" w:eastAsia="el"/>
        </w:rPr>
        <w:t xml:space="preserve">6. </w:t>
      </w:r>
      <w:r>
        <w:rPr>
          <w:b/>
          <w:bCs/>
          <w:u w:val="single"/>
          <w:lang w:val="el" w:eastAsia="el"/>
        </w:rPr>
        <w:t>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u w:val="single"/>
          <w:lang w:val="el" w:eastAsia="el"/>
        </w:rPr>
        <w:t xml:space="preserve">7. </w:t>
      </w:r>
      <w:r>
        <w:rPr>
          <w:b/>
          <w:bCs/>
          <w:u w:val="single"/>
          <w:lang w:val="el" w:eastAsia="el"/>
        </w:rPr>
        <w:t>Την ανάγκη απλούστευσης των διαδικασιών και διευκόλυνσης των υποκειμένων σε φόρο κατά την υποβολή της δήλωσης ΦΠΑ, με την προσυμπλήρωση των δηλώσεων ΦΠΑ βάσει των στοιχείων που διαβιβάζονται στην ψηφιακή πλατφόρμα myDATA της ΑΑΔΕ .</w:t>
      </w:r>
    </w:p>
    <w:p>
      <w:pPr>
        <w:spacing w:before="240" w:after="240"/>
        <w:rPr>
          <w:lang w:val="el" w:eastAsia="el"/>
        </w:rPr>
      </w:pPr>
      <w:r>
        <w:rPr>
          <w:b/>
          <w:bCs/>
          <w:u w:val="single"/>
          <w:lang w:val="el" w:eastAsia="el"/>
        </w:rPr>
        <w:t xml:space="preserve">8. </w:t>
      </w:r>
      <w:r>
        <w:rPr>
          <w:b/>
          <w:bCs/>
          <w:u w:val="single"/>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Τροποποιούμε την υπό στοιχεία ΠΟΛ 1084/2016 απόφαση Γενικού Γραμματέα Δημοσίων Εσόδων ως εξής:</w:t>
      </w:r>
    </w:p>
    <w:p>
      <w:pPr>
        <w:spacing w:before="240" w:after="240"/>
        <w:rPr>
          <w:lang w:val="el" w:eastAsia="el"/>
        </w:rPr>
      </w:pPr>
      <w:r>
        <w:rPr>
          <w:b/>
          <w:bCs/>
          <w:u w:val="single"/>
          <w:lang w:val="el" w:eastAsia="el"/>
        </w:rPr>
        <w:t xml:space="preserve">1. </w:t>
      </w:r>
      <w:r>
        <w:rPr>
          <w:b/>
          <w:bCs/>
          <w:u w:val="single"/>
          <w:lang w:val="el" w:eastAsia="el"/>
        </w:rPr>
        <w:t>Μετά την παράγραφο 2 προστίθεται παράγραφος 2 α ως ακολούθως :</w:t>
      </w:r>
    </w:p>
    <w:p>
      <w:pPr>
        <w:spacing w:before="240" w:after="240"/>
        <w:rPr>
          <w:lang w:val="el" w:eastAsia="el"/>
        </w:rPr>
      </w:pPr>
      <w:r>
        <w:rPr>
          <w:b/>
          <w:bCs/>
          <w:u w:val="single"/>
          <w:lang w:val="el" w:eastAsia="el"/>
        </w:rPr>
        <w:t>«2α) Για τις δηλώσεις ΦΠΑ που υποβάλλονται από 5/12/2022 και εφεξής και αφορούν φορολογικές περιόδους από 1/1/2022 και εφεξής, η Ανεξάρτητη Αρχή Δημοσίων Εσόδων (ΑΑΔΕ) προσυμπληρώνει τις κατηγορίες εκροών και εισροών με τους αντίστοιχους φόρους στους σχετικούς κωδικούς των πινάκων της δήλωσης ΦΠΑ βάσει των δεδομένων που διαβιβάζονται στην ψηφιακή πλατφόρμα myDATA της ΑΑΔΕ, και του χαρακτηρισμού αυτών, σύμφωνα με τις εκάστοτε ισχύουσες αποφάσεις.</w:t>
      </w:r>
    </w:p>
    <w:p>
      <w:pPr>
        <w:spacing w:before="240" w:after="240"/>
        <w:rPr>
          <w:lang w:val="el" w:eastAsia="el"/>
        </w:rPr>
      </w:pPr>
      <w:r>
        <w:rPr>
          <w:b/>
          <w:bCs/>
          <w:u w:val="single"/>
          <w:lang w:val="el" w:eastAsia="el"/>
        </w:rPr>
        <w:t>Ειδικά ως προς τις εισροές ΦΠΑ, εφόσον δεν έχει προηγηθεί χαρακτηρισμός των σχετικών δαπανών στην ψηφιακή πλατφόρμα myDATA, όλες οι δαπάνες προσυμπληρώνονται στον κωδικό 361 (Αγορές και δαπάνες στο εσωτερικό της χώρας), εξαιρουμένων εκείνων που προέρχονται από παραστατικά με εκδότη οντότητα που έχει δηλώσει Κωδικό Αριθμό Δραστηριότητας (ΚΑΔ) σχετικό με το άρθρο 30 παρ. 4 ΚΦΠΑ. (ν. 2859/2000).</w:t>
      </w:r>
    </w:p>
    <w:p>
      <w:pPr>
        <w:spacing w:before="240" w:after="240"/>
        <w:rPr>
          <w:lang w:val="el" w:eastAsia="el"/>
        </w:rPr>
      </w:pPr>
      <w:r>
        <w:rPr>
          <w:b/>
          <w:bCs/>
          <w:u w:val="single"/>
          <w:lang w:val="el" w:eastAsia="el"/>
        </w:rPr>
        <w:t>Η ορθή και ακριβής συμπλήρωση και υποβολή της δήλωσης Φ.Π.Α. συνιστά υποχρέωση και ευθύνη του υποκείμενου στο φόρο. Η προσυμπλήρωση των δηλώσεων ΦΠΑ έχει ως σκοπό τη διευκόλυνση του υποκειμένου στο φόρο κατά την υποβολή της δήλωσής του και δεν είναι δεσμευτική γι’ αυτόν. Τα προσυμπληρωμένα ποσά στους κωδικούς της δήλωσης ΦΠΑ δύνανται να τροποποιούνται από τον υποκείμενο στον φόρο.»</w:t>
      </w:r>
    </w:p>
    <w:p>
      <w:pPr>
        <w:spacing w:before="240" w:after="240"/>
        <w:rPr>
          <w:lang w:val="el" w:eastAsia="el"/>
        </w:rPr>
      </w:pP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Αποδέκτες Πίνακα Γ΄, πλην των αριθμ. 2. και 3.</w:t>
      </w:r>
    </w:p>
    <w:p>
      <w:pPr>
        <w:spacing w:before="240" w:after="240"/>
        <w:rPr>
          <w:lang w:val="el" w:eastAsia="el"/>
        </w:rPr>
      </w:pPr>
      <w:r>
        <w:rPr>
          <w:b/>
          <w:bCs/>
          <w:u w:val="single"/>
          <w:lang w:val="el" w:eastAsia="el"/>
        </w:rPr>
        <w:t xml:space="preserve">2. </w:t>
      </w:r>
      <w:r>
        <w:rPr>
          <w:b/>
          <w:bCs/>
          <w:u w:val="single"/>
          <w:lang w:val="el" w:eastAsia="el"/>
        </w:rPr>
        <w:t>Διεύθυνση Στρατηγικής Τεχνολογιών Πληροφορικής</w:t>
      </w:r>
    </w:p>
    <w:p>
      <w:pPr>
        <w:spacing w:before="240" w:after="240"/>
        <w:rPr>
          <w:lang w:val="el" w:eastAsia="el"/>
        </w:rPr>
      </w:pPr>
      <w:r>
        <w:rPr>
          <w:b/>
          <w:bCs/>
          <w:u w:val="single"/>
          <w:lang w:val="el" w:eastAsia="el"/>
        </w:rPr>
        <w:t xml:space="preserve">3. </w:t>
      </w:r>
      <w:r>
        <w:rPr>
          <w:b/>
          <w:bCs/>
          <w:u w:val="single"/>
          <w:lang w:val="el" w:eastAsia="el"/>
        </w:rPr>
        <w:t>Διεύθυνση Επικοινωνίας</w:t>
      </w:r>
    </w:p>
    <w:p>
      <w:pPr>
        <w:spacing w:before="240" w:after="240"/>
        <w:rPr>
          <w:lang w:val="el" w:eastAsia="el"/>
        </w:rPr>
      </w:pPr>
      <w:r>
        <w:rPr>
          <w:b/>
          <w:bCs/>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 xml:space="preserve">5. </w:t>
      </w:r>
      <w:r>
        <w:rPr>
          <w:b/>
          <w:bCs/>
          <w:u w:val="single"/>
          <w:lang w:val="el" w:eastAsia="el"/>
        </w:rPr>
        <w:t>Εθνικό Τυπογραφείο για δημοσίευση σε ΦΕΚ</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Αποδέκτες Πίνακα Α΄ μόνο οι αριθ. 1 και 4.</w:t>
      </w:r>
    </w:p>
    <w:p>
      <w:pPr>
        <w:spacing w:before="240" w:after="240"/>
        <w:rPr>
          <w:lang w:val="el" w:eastAsia="el"/>
        </w:rPr>
      </w:pPr>
      <w:r>
        <w:rPr>
          <w:b/>
          <w:bCs/>
          <w:u w:val="single"/>
          <w:lang w:val="el" w:eastAsia="el"/>
        </w:rPr>
        <w:t xml:space="preserve">2. </w:t>
      </w:r>
      <w:r>
        <w:rPr>
          <w:b/>
          <w:bCs/>
          <w:u w:val="single"/>
          <w:lang w:val="el" w:eastAsia="el"/>
        </w:rPr>
        <w:t>Αποδέκτες Πίνακα Β΄.</w:t>
      </w:r>
    </w:p>
    <w:p>
      <w:pPr>
        <w:spacing w:before="240" w:after="240"/>
        <w:rPr>
          <w:lang w:val="el" w:eastAsia="el"/>
        </w:rPr>
      </w:pPr>
      <w:r>
        <w:rPr>
          <w:b/>
          <w:bCs/>
          <w:u w:val="single"/>
          <w:lang w:val="el" w:eastAsia="el"/>
        </w:rPr>
        <w:t xml:space="preserve">3. </w:t>
      </w:r>
      <w:r>
        <w:rPr>
          <w:b/>
          <w:bCs/>
          <w:u w:val="single"/>
          <w:lang w:val="el" w:eastAsia="el"/>
        </w:rPr>
        <w:t>Αποδέκτες Πίνακα Γ΄, μόνο οι αριθμ. 2 και 3.</w:t>
      </w:r>
    </w:p>
    <w:p>
      <w:pPr>
        <w:spacing w:before="240" w:after="240"/>
        <w:rPr>
          <w:lang w:val="el" w:eastAsia="el"/>
        </w:rPr>
      </w:pPr>
      <w:r>
        <w:rPr>
          <w:b/>
          <w:bCs/>
          <w:u w:val="single"/>
          <w:lang w:val="el" w:eastAsia="el"/>
        </w:rPr>
        <w:t xml:space="preserve">4. </w:t>
      </w:r>
      <w:r>
        <w:rPr>
          <w:b/>
          <w:bCs/>
          <w:u w:val="single"/>
          <w:lang w:val="el" w:eastAsia="el"/>
        </w:rPr>
        <w:t>Αποδέκτες Πίνακα Δ΄.</w:t>
      </w:r>
    </w:p>
    <w:p>
      <w:pPr>
        <w:spacing w:before="240" w:after="240"/>
        <w:rPr>
          <w:lang w:val="el" w:eastAsia="el"/>
        </w:rPr>
      </w:pPr>
      <w:r>
        <w:rPr>
          <w:b/>
          <w:bCs/>
          <w:u w:val="single"/>
          <w:lang w:val="el" w:eastAsia="el"/>
        </w:rPr>
        <w:t xml:space="preserve">5. </w:t>
      </w:r>
      <w:r>
        <w:rPr>
          <w:b/>
          <w:bCs/>
          <w:u w:val="single"/>
          <w:lang w:val="el" w:eastAsia="el"/>
        </w:rPr>
        <w:t>Αποδέκτες Πίνακα Ζ΄.</w:t>
      </w:r>
    </w:p>
    <w:p>
      <w:pPr>
        <w:spacing w:before="240" w:after="240"/>
        <w:rPr>
          <w:lang w:val="el" w:eastAsia="el"/>
        </w:rPr>
      </w:pPr>
      <w:r>
        <w:rPr>
          <w:b/>
          <w:bCs/>
          <w:u w:val="single"/>
          <w:lang w:val="el" w:eastAsia="el"/>
        </w:rPr>
        <w:t xml:space="preserve">6. </w:t>
      </w:r>
      <w:r>
        <w:rPr>
          <w:b/>
          <w:bCs/>
          <w:u w:val="single"/>
          <w:lang w:val="el" w:eastAsia="el"/>
        </w:rPr>
        <w:t>Αποδέκτες Πίνακα Η΄.</w:t>
      </w:r>
    </w:p>
    <w:p>
      <w:pPr>
        <w:spacing w:before="240" w:after="240"/>
        <w:rPr>
          <w:lang w:val="el" w:eastAsia="el"/>
        </w:rPr>
      </w:pPr>
      <w:r>
        <w:rPr>
          <w:b/>
          <w:bCs/>
          <w:u w:val="single"/>
          <w:lang w:val="el" w:eastAsia="el"/>
        </w:rPr>
        <w:t xml:space="preserve">7. </w:t>
      </w:r>
      <w:r>
        <w:rPr>
          <w:b/>
          <w:bCs/>
          <w:u w:val="single"/>
          <w:lang w:val="el" w:eastAsia="el"/>
        </w:rPr>
        <w:t>Αποδέκτες Πίνακα Θ΄ μόνο οι αριθ. 10, 17 και 18.</w:t>
      </w:r>
    </w:p>
    <w:p>
      <w:pPr>
        <w:spacing w:before="240" w:after="240"/>
        <w:rPr>
          <w:lang w:val="el" w:eastAsia="el"/>
        </w:rPr>
      </w:pPr>
      <w:r>
        <w:rPr>
          <w:b/>
          <w:bCs/>
          <w:u w:val="single"/>
          <w:lang w:val="el" w:eastAsia="el"/>
        </w:rPr>
        <w:t xml:space="preserve">8. </w:t>
      </w:r>
      <w:r>
        <w:rPr>
          <w:b/>
          <w:bCs/>
          <w:u w:val="single"/>
          <w:lang w:val="el" w:eastAsia="el"/>
        </w:rPr>
        <w:t>Αποδέκτες Πίνακα ΙΒ΄</w:t>
      </w:r>
    </w:p>
    <w:p>
      <w:pPr>
        <w:spacing w:before="240" w:after="240"/>
        <w:rPr>
          <w:lang w:val="el" w:eastAsia="el"/>
        </w:rPr>
      </w:pPr>
      <w:r>
        <w:rPr>
          <w:b/>
          <w:bCs/>
          <w:u w:val="single"/>
          <w:lang w:val="el" w:eastAsia="el"/>
        </w:rPr>
        <w:t xml:space="preserve">9. </w:t>
      </w:r>
      <w:r>
        <w:rPr>
          <w:b/>
          <w:bCs/>
          <w:u w:val="single"/>
          <w:lang w:val="el" w:eastAsia="el"/>
        </w:rPr>
        <w:t>Αποδέκτες Πίνακα ΙΕ΄</w:t>
      </w:r>
    </w:p>
    <w:p>
      <w:pPr>
        <w:spacing w:before="240" w:after="240"/>
        <w:rPr>
          <w:lang w:val="el" w:eastAsia="el"/>
        </w:rPr>
      </w:pPr>
      <w:r>
        <w:rPr>
          <w:b/>
          <w:bCs/>
          <w:u w:val="single"/>
          <w:lang w:val="el" w:eastAsia="el"/>
        </w:rPr>
        <w:t xml:space="preserve">10. </w:t>
      </w:r>
      <w:r>
        <w:rPr>
          <w:b/>
          <w:bCs/>
          <w:u w:val="single"/>
          <w:lang w:val="el" w:eastAsia="el"/>
        </w:rPr>
        <w:t>Αποδέκτες Πίνακα ΙΣΤ΄</w:t>
      </w:r>
    </w:p>
    <w:p>
      <w:pPr>
        <w:spacing w:before="240" w:after="240"/>
        <w:rPr>
          <w:lang w:val="el" w:eastAsia="el"/>
        </w:rPr>
      </w:pPr>
      <w:r>
        <w:rPr>
          <w:b/>
          <w:bCs/>
          <w:u w:val="single"/>
          <w:lang w:val="el" w:eastAsia="el"/>
        </w:rPr>
        <w:t xml:space="preserve">11. </w:t>
      </w:r>
      <w:r>
        <w:rPr>
          <w:b/>
          <w:bCs/>
          <w:u w:val="single"/>
          <w:lang w:val="el" w:eastAsia="el"/>
        </w:rPr>
        <w:t>Αποδέκτες Πίνακα ΙΗ΄</w:t>
      </w:r>
    </w:p>
    <w:p>
      <w:pPr>
        <w:spacing w:before="240" w:after="240"/>
        <w:rPr>
          <w:lang w:val="el" w:eastAsia="el"/>
        </w:rPr>
      </w:pPr>
      <w:r>
        <w:rPr>
          <w:b/>
          <w:bCs/>
          <w:u w:val="single"/>
          <w:lang w:val="el" w:eastAsia="el"/>
        </w:rPr>
        <w:t xml:space="preserve">12. </w:t>
      </w:r>
      <w:r>
        <w:rPr>
          <w:b/>
          <w:bCs/>
          <w:u w:val="single"/>
          <w:lang w:val="el" w:eastAsia="el"/>
        </w:rPr>
        <w:t>Αποδέκτες Πίνακα ΙΖ΄</w:t>
      </w:r>
    </w:p>
    <w:p>
      <w:pPr>
        <w:spacing w:before="240" w:after="240"/>
        <w:rPr>
          <w:lang w:val="el" w:eastAsia="el"/>
        </w:rPr>
      </w:pPr>
      <w:r>
        <w:rPr>
          <w:b/>
          <w:bCs/>
          <w:u w:val="single"/>
          <w:lang w:val="el" w:eastAsia="el"/>
        </w:rPr>
        <w:t xml:space="preserve">13. </w:t>
      </w:r>
      <w:r>
        <w:rPr>
          <w:b/>
          <w:bCs/>
          <w:u w:val="single"/>
          <w:lang w:val="el" w:eastAsia="el"/>
        </w:rPr>
        <w:t>Αποδέκτες Πίνακα ΙΘ΄</w:t>
      </w:r>
    </w:p>
    <w:p>
      <w:pPr>
        <w:spacing w:before="240" w:after="240"/>
        <w:rPr>
          <w:lang w:val="el" w:eastAsia="el"/>
        </w:rPr>
      </w:pPr>
      <w:r>
        <w:rPr>
          <w:b/>
          <w:bCs/>
          <w:u w:val="single"/>
          <w:lang w:val="el" w:eastAsia="el"/>
        </w:rPr>
        <w:t xml:space="preserve">14. </w:t>
      </w:r>
      <w:r>
        <w:rPr>
          <w:b/>
          <w:bCs/>
          <w:u w:val="single"/>
          <w:lang w:val="el" w:eastAsia="el"/>
        </w:rPr>
        <w:t>Αποδέκτες Πίνακα ΚΒ΄</w:t>
      </w:r>
    </w:p>
    <w:p>
      <w:pPr>
        <w:spacing w:before="240" w:after="240"/>
        <w:rPr>
          <w:lang w:val="el" w:eastAsia="el"/>
        </w:rPr>
      </w:pPr>
      <w:r>
        <w:rPr>
          <w:b/>
          <w:bCs/>
          <w:u w:val="single"/>
          <w:lang w:val="el" w:eastAsia="el"/>
        </w:rPr>
        <w:t xml:space="preserve">15. </w:t>
      </w:r>
      <w:r>
        <w:rPr>
          <w:b/>
          <w:bCs/>
          <w:u w:val="single"/>
          <w:lang w:val="el" w:eastAsia="el"/>
        </w:rPr>
        <w:t>Αποδέκτες Πίνακα ΚΓ΄</w:t>
      </w:r>
    </w:p>
    <w:p>
      <w:pPr>
        <w:spacing w:before="240" w:after="240"/>
        <w:rPr>
          <w:lang w:val="el" w:eastAsia="el"/>
        </w:rPr>
      </w:pPr>
      <w:r>
        <w:rPr>
          <w:b/>
          <w:bCs/>
          <w:u w:val="single"/>
          <w:lang w:val="el" w:eastAsia="el"/>
        </w:rPr>
        <w:t xml:space="preserve">16. </w:t>
      </w:r>
      <w:r>
        <w:rPr>
          <w:b/>
          <w:bCs/>
          <w:u w:val="single"/>
          <w:lang w:val="el" w:eastAsia="el"/>
        </w:rPr>
        <w:t>Γραφείο Υπουργού Οικονομικών κ. Χ. Σταικούρα</w:t>
      </w:r>
    </w:p>
    <w:p>
      <w:pPr>
        <w:spacing w:before="240" w:after="240"/>
        <w:rPr>
          <w:lang w:val="el" w:eastAsia="el"/>
        </w:rPr>
      </w:pPr>
      <w:r>
        <w:rPr>
          <w:b/>
          <w:bCs/>
          <w:u w:val="single"/>
          <w:lang w:val="el" w:eastAsia="el"/>
        </w:rPr>
        <w:t xml:space="preserve">17. </w:t>
      </w:r>
      <w:r>
        <w:rPr>
          <w:b/>
          <w:bCs/>
          <w:u w:val="single"/>
          <w:lang w:val="el" w:eastAsia="el"/>
        </w:rPr>
        <w:t>Γραφείο Υφυπουργού Οικονομικών κ. Α. Βεσυρόπουλου</w:t>
      </w:r>
    </w:p>
    <w:p>
      <w:pPr>
        <w:spacing w:before="240" w:after="240"/>
        <w:rPr>
          <w:lang w:val="el" w:eastAsia="el"/>
        </w:rPr>
      </w:pPr>
      <w:r>
        <w:rPr>
          <w:b/>
          <w:bCs/>
          <w:u w:val="single"/>
          <w:lang w:val="el" w:eastAsia="el"/>
        </w:rPr>
        <w:t xml:space="preserve">18. </w:t>
      </w:r>
      <w:r>
        <w:rPr>
          <w:b/>
          <w:b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 xml:space="preserve">19. </w:t>
      </w:r>
      <w:r>
        <w:rPr>
          <w:b/>
          <w:bCs/>
          <w:u w:val="single"/>
          <w:lang w:val="el" w:eastAsia="el"/>
        </w:rPr>
        <w:t>Διεύθυνση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Γραφείο κ. κ. Γενικών Διευθυντών</w:t>
      </w:r>
    </w:p>
    <w:p>
      <w:pPr>
        <w:spacing w:before="240" w:after="240"/>
        <w:rPr>
          <w:lang w:val="el" w:eastAsia="el"/>
        </w:rPr>
      </w:pPr>
      <w:r>
        <w:rPr>
          <w:b/>
          <w:bCs/>
          <w:u w:val="single"/>
          <w:lang w:val="el" w:eastAsia="el"/>
        </w:rPr>
        <w:t xml:space="preserve">3. </w:t>
      </w:r>
      <w:r>
        <w:rPr>
          <w:b/>
          <w:bCs/>
          <w:u w:val="single"/>
          <w:lang w:val="el" w:eastAsia="el"/>
        </w:rPr>
        <w:t>ΔΕΕΦ</w:t>
      </w:r>
    </w:p>
    <w:p>
      <w:pPr>
        <w:spacing w:before="240" w:after="240"/>
        <w:rPr>
          <w:lang w:val="el" w:eastAsia="el"/>
        </w:rPr>
      </w:pPr>
      <w:r>
        <w:rPr>
          <w:b/>
          <w:bCs/>
          <w:u w:val="single"/>
          <w:lang w:val="el" w:eastAsia="el"/>
        </w:rPr>
        <w:t xml:space="preserve">4. </w:t>
      </w:r>
      <w:r>
        <w:rPr>
          <w:b/>
          <w:bCs/>
          <w:u w:val="single"/>
          <w:lang w:val="el" w:eastAsia="el"/>
        </w:rPr>
        <w:t>ΔΕΛ</w:t>
      </w:r>
    </w:p>
    <w:p>
      <w:pPr>
        <w:spacing w:before="240" w:after="240"/>
        <w:rPr>
          <w:lang w:val="el" w:eastAsia="el"/>
        </w:rPr>
      </w:pPr>
      <w:r>
        <w:rPr>
          <w:b/>
          <w:bCs/>
          <w:u w:val="single"/>
          <w:lang w:val="el" w:eastAsia="el"/>
        </w:rPr>
        <w:t xml:space="preserve">5. </w:t>
      </w:r>
      <w:r>
        <w:rPr>
          <w:b/>
          <w:bCs/>
          <w:u w:val="single"/>
          <w:lang w:val="el" w:eastAsia="el"/>
        </w:rPr>
        <w:t>ΔΙΕΠΙΔΙ</w:t>
      </w:r>
    </w:p>
    <w:p>
      <w:pPr>
        <w:spacing w:before="240" w:after="240"/>
        <w:rPr>
          <w:lang w:val="el" w:eastAsia="el"/>
        </w:rPr>
      </w:pPr>
      <w:r>
        <w:rPr>
          <w:b/>
          <w:bCs/>
          <w:u w:val="single"/>
          <w:lang w:val="el" w:eastAsia="el"/>
        </w:rPr>
        <w:t xml:space="preserve">6. </w:t>
      </w:r>
      <w:r>
        <w:rPr>
          <w:b/>
          <w:bCs/>
          <w:u w:val="single"/>
          <w:lang w:val="el" w:eastAsia="el"/>
        </w:rPr>
        <w:t>ΔΑΦΕ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eleg@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