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b/>
          <w:bCs/>
          <w:lang w:val="el" w:eastAsia="el"/>
        </w:rPr>
        <w:t>ΑΔΑ: Ψ8Ε546ΜΠ3Ζ-ΞΗΙ</w:t>
      </w:r>
    </w:p>
    <w:p>
      <w:pPr>
        <w:spacing w:before="240" w:after="240"/>
        <w:rPr>
          <w:lang w:val="el" w:eastAsia="el"/>
        </w:rPr>
      </w:pPr>
      <w:r>
        <w:rPr>
          <w:b/>
          <w:bCs/>
          <w:lang w:val="el" w:eastAsia="el"/>
        </w:rPr>
        <w:t>Αριθ. ΦΕΚ: 6244 Β’/09.12.2022</w:t>
      </w:r>
    </w:p>
    <w:p>
      <w:pPr>
        <w:spacing w:before="240" w:after="240"/>
        <w:rPr>
          <w:lang w:val="el" w:eastAsia="el"/>
        </w:rPr>
      </w:pPr>
      <w:r>
        <w:rPr>
          <w:b/>
          <w:bCs/>
          <w:lang w:val="el" w:eastAsia="el"/>
        </w:rPr>
        <w:t>Αθήνα, 09/12/2022</w:t>
      </w:r>
    </w:p>
    <w:p>
      <w:pPr>
        <w:spacing w:before="240" w:after="240"/>
        <w:rPr>
          <w:lang w:val="el" w:eastAsia="el"/>
        </w:rPr>
      </w:pPr>
      <w:r>
        <w:rPr>
          <w:b/>
          <w:bCs/>
          <w:lang w:val="el" w:eastAsia="el"/>
        </w:rPr>
        <w:t>A. 1172</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Α.1105/29.7.2022 κοινής απόφασης του Αναπληρωτή Υπουργού Οικονομικών, του Υφυπουργού Οικονομικών, του Υφυπουργού Ανάπτυξης και Επενδύσεων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 Ο ΥΠΟΥΡΓΟΣ ΑΝΑΠΤΥΞΗΣ ΚΑΙ ΕΠΕΝΔΥΣΕΩΝ ΚΑΙ</w:t>
      </w:r>
    </w:p>
    <w:p>
      <w:pPr>
        <w:spacing w:before="240" w:after="240"/>
        <w:rPr>
          <w:lang w:val="el" w:eastAsia="el"/>
        </w:rPr>
      </w:pPr>
      <w:r>
        <w:rPr>
          <w:b/>
          <w:bCs/>
          <w:lang w:val="el" w:eastAsia="el"/>
        </w:rPr>
        <w:t>Ο ΥΦΥΠΟΥΡΓΟΣ ΣΤΟΝ ΠΡΩΘΥΠΟΥΡΓΟ</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(Α΄126).</w:t>
      </w:r>
    </w:p>
    <w:p>
      <w:pPr>
        <w:spacing w:before="240" w:after="240"/>
        <w:rPr>
          <w:lang w:val="el" w:eastAsia="el"/>
        </w:rPr>
      </w:pPr>
      <w:r>
        <w:rPr>
          <w:lang w:val="el" w:eastAsia="el"/>
        </w:rPr>
        <w:t xml:space="preserve">2. </w:t>
      </w:r>
      <w:r>
        <w:rPr>
          <w:b/>
          <w:bCs/>
          <w:lang w:val="el" w:eastAsia="el"/>
        </w:rPr>
        <w:t>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 xml:space="preserve">3. </w:t>
      </w:r>
      <w:r>
        <w:rPr>
          <w:b/>
          <w:bCs/>
          <w:lang w:val="el" w:eastAsia="el"/>
        </w:rPr>
        <w:t>Τον υπ’ αρ.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 xml:space="preserve">4. </w:t>
      </w:r>
      <w:r>
        <w:rPr>
          <w:b/>
          <w:bCs/>
          <w:lang w:val="el" w:eastAsia="el"/>
        </w:rPr>
        <w:t>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 xml:space="preserve">5. </w:t>
      </w:r>
      <w:r>
        <w:rPr>
          <w:b/>
          <w:bCs/>
          <w:lang w:val="el" w:eastAsia="el"/>
        </w:rPr>
        <w:t>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(ΕΕ)υπ΄αρ. 460/2020 (L 099).</w:t>
      </w:r>
    </w:p>
    <w:p>
      <w:pPr>
        <w:spacing w:before="240" w:after="240"/>
        <w:rPr>
          <w:lang w:val="el" w:eastAsia="el"/>
        </w:rPr>
      </w:pPr>
      <w:r>
        <w:rPr>
          <w:lang w:val="el" w:eastAsia="el"/>
        </w:rPr>
        <w:t xml:space="preserve">6. </w:t>
      </w:r>
      <w:r>
        <w:rPr>
          <w:b/>
          <w:bCs/>
          <w:lang w:val="el" w:eastAsia="el"/>
        </w:rPr>
        <w:t>Την υπ΄αρ. (2020) 6860/23.9.2022 εγκριτική απόφαση περί έγκρισης καθεστώτος κρατικής ενίσχυσης.</w:t>
      </w:r>
    </w:p>
    <w:p>
      <w:pPr>
        <w:spacing w:before="240" w:after="240"/>
        <w:rPr>
          <w:lang w:val="el" w:eastAsia="el"/>
        </w:rPr>
      </w:pPr>
      <w:r>
        <w:rPr>
          <w:lang w:val="el" w:eastAsia="el"/>
        </w:rPr>
        <w:t xml:space="preserve">7. </w:t>
      </w:r>
      <w:r>
        <w:rPr>
          <w:b/>
          <w:bCs/>
          <w:lang w:val="el" w:eastAsia="el"/>
        </w:rPr>
        <w:t>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(L 347).</w:t>
      </w:r>
    </w:p>
    <w:p>
      <w:pPr>
        <w:spacing w:before="240" w:after="240"/>
        <w:rPr>
          <w:lang w:val="el" w:eastAsia="el"/>
        </w:rPr>
      </w:pPr>
      <w:r>
        <w:rPr>
          <w:lang w:val="el" w:eastAsia="el"/>
        </w:rPr>
        <w:t xml:space="preserve">8. </w:t>
      </w:r>
      <w:r>
        <w:rPr>
          <w:b/>
          <w:bCs/>
          <w:lang w:val="el" w:eastAsia="el"/>
        </w:rPr>
        <w:t>Τον ν.4314/2014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w:t>
      </w:r>
      <w:r>
        <w:rPr>
          <w:b/>
          <w:bCs/>
          <w:sz w:val="30"/>
          <w:szCs w:val="30"/>
          <w:vertAlign w:val="superscript"/>
          <w:lang w:val="el" w:eastAsia="el"/>
        </w:rPr>
        <w:t>ης</w:t>
      </w:r>
      <w:r>
        <w:rPr>
          <w:b/>
          <w:bCs/>
          <w:lang w:val="el" w:eastAsia="el"/>
        </w:rPr>
        <w:t xml:space="preserve"> Ιουνίου 2012 (ΕΕ L 156/16.6.2012) στο ελληνικό δίκαιο, τροποποίηση του ν.3419/2005 (Α 297) και άλλες διατάξεις» (Α΄265).</w:t>
      </w:r>
    </w:p>
    <w:p>
      <w:pPr>
        <w:spacing w:before="240" w:after="240"/>
        <w:rPr>
          <w:lang w:val="el" w:eastAsia="el"/>
        </w:rPr>
      </w:pPr>
      <w:r>
        <w:rPr>
          <w:lang w:val="el" w:eastAsia="el"/>
        </w:rPr>
        <w:t xml:space="preserve">9. </w:t>
      </w:r>
      <w:r>
        <w:rPr>
          <w:b/>
          <w:bCs/>
          <w:lang w:val="el" w:eastAsia="el"/>
        </w:rPr>
        <w:t>Τον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 xml:space="preserve">10. </w:t>
      </w:r>
      <w:r>
        <w:rPr>
          <w:b/>
          <w:bCs/>
          <w:lang w:val="el" w:eastAsia="el"/>
        </w:rPr>
        <w:t>Τον Κώδικα εισπράξεως Δημοσίων Εσόδων (ν.δ. 356/1974, Α΄90).</w:t>
      </w:r>
    </w:p>
    <w:p>
      <w:pPr>
        <w:spacing w:before="240" w:after="240"/>
        <w:rPr>
          <w:lang w:val="el" w:eastAsia="el"/>
        </w:rPr>
      </w:pPr>
      <w:r>
        <w:rPr>
          <w:lang w:val="el" w:eastAsia="el"/>
        </w:rPr>
        <w:t xml:space="preserve">11. </w:t>
      </w:r>
      <w:r>
        <w:rPr>
          <w:b/>
          <w:bCs/>
          <w:lang w:val="el" w:eastAsia="el"/>
        </w:rPr>
        <w:t>Το π.δ. 2/2021 «Διορισμός Υπουργών, Αναπληρωτών Υπουργών και Υφυπουργών» (Α΄2)</w:t>
      </w:r>
    </w:p>
    <w:p>
      <w:pPr>
        <w:spacing w:before="240" w:after="240"/>
        <w:rPr>
          <w:lang w:val="el" w:eastAsia="el"/>
        </w:rPr>
      </w:pPr>
      <w:r>
        <w:rPr>
          <w:lang w:val="el" w:eastAsia="el"/>
        </w:rPr>
        <w:t xml:space="preserve">12. </w:t>
      </w:r>
      <w:r>
        <w:rPr>
          <w:b/>
          <w:bCs/>
          <w:lang w:val="el" w:eastAsia="el"/>
        </w:rPr>
        <w:t>Το π.δ. 62/2020 «Διορισμός Αναπληρωτών Υπουργών και Υφυπουργών» (Α΄ 155).</w:t>
      </w:r>
    </w:p>
    <w:p>
      <w:pPr>
        <w:spacing w:before="240" w:after="240"/>
        <w:rPr>
          <w:lang w:val="el" w:eastAsia="el"/>
        </w:rPr>
      </w:pPr>
      <w:r>
        <w:rPr>
          <w:lang w:val="el" w:eastAsia="el"/>
        </w:rPr>
        <w:t xml:space="preserve">13.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 xml:space="preserve">14.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 xml:space="preserve">15. </w:t>
      </w:r>
      <w:r>
        <w:rPr>
          <w:b/>
          <w:bCs/>
          <w:lang w:val="el" w:eastAsia="el"/>
        </w:rPr>
        <w:t>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 xml:space="preserve">16.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17. </w:t>
      </w:r>
      <w:r>
        <w:rPr>
          <w:b/>
          <w:bCs/>
          <w:lang w:val="el" w:eastAsia="el"/>
        </w:rPr>
        <w:t>Το π.δ. 98/2020 «Οργανισμός της Προεδρίας της Κυβέρνησης» (Α΄ 236).</w:t>
      </w:r>
    </w:p>
    <w:p>
      <w:pPr>
        <w:spacing w:before="240" w:after="240"/>
        <w:rPr>
          <w:lang w:val="el" w:eastAsia="el"/>
        </w:rPr>
      </w:pPr>
      <w:r>
        <w:rPr>
          <w:lang w:val="el" w:eastAsia="el"/>
        </w:rPr>
        <w:t xml:space="preserve">18. </w:t>
      </w:r>
      <w:r>
        <w:rPr>
          <w:b/>
          <w:bCs/>
          <w:lang w:val="el" w:eastAsia="el"/>
        </w:rPr>
        <w:t>Το π.δ. 80/2016 «Ανάληψη υποχρεώσεων από τους διατάκτες» (Α΄145).</w:t>
      </w:r>
    </w:p>
    <w:p>
      <w:pPr>
        <w:spacing w:before="240" w:after="240"/>
        <w:rPr>
          <w:lang w:val="el" w:eastAsia="el"/>
        </w:rPr>
      </w:pPr>
      <w:r>
        <w:rPr>
          <w:lang w:val="el" w:eastAsia="el"/>
        </w:rPr>
        <w:t xml:space="preserve">19. </w:t>
      </w:r>
      <w:r>
        <w:rPr>
          <w:b/>
          <w:bCs/>
          <w:lang w:val="el" w:eastAsia="el"/>
        </w:rPr>
        <w:t>Το άρθρο 90 του Κώδικα Νομοθεσίας για την Κυβέρνηση και τα Κυβερνητικά Όργανα, (π.δ. 63/2005, Α΄98), όπως διατηρήθηκε σε ισχύ με την παρ. 22 του άρθρου 119 του ν.4622/2019 (Α’133).</w:t>
      </w:r>
    </w:p>
    <w:p>
      <w:pPr>
        <w:spacing w:before="240" w:after="240"/>
        <w:rPr>
          <w:lang w:val="el" w:eastAsia="el"/>
        </w:rPr>
      </w:pPr>
      <w:r>
        <w:rPr>
          <w:b/>
          <w:bCs/>
          <w:lang w:val="el" w:eastAsia="el"/>
        </w:rPr>
        <w:t>Την υπό στοιχεία Υ26/13.08.2021 απόφαση του Πρωθυπουργού «Ανάθεση αρμοδιοτήτων στον Υφυπουργό στον Πρωθυπουργό, Ιωάννη Οικονόμου » (Β’ 3788).</w:t>
      </w:r>
    </w:p>
    <w:p>
      <w:pPr>
        <w:spacing w:before="240" w:after="240"/>
        <w:rPr>
          <w:lang w:val="el" w:eastAsia="el"/>
        </w:rPr>
      </w:pPr>
      <w:r>
        <w:rPr>
          <w:b/>
          <w:bCs/>
          <w:lang w:val="el" w:eastAsia="el"/>
        </w:rPr>
        <w:t>Tην υπό στοιχεία Y70/30.10.2020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 xml:space="preserve">22.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23.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24. </w:t>
      </w:r>
      <w:r>
        <w:rPr>
          <w:b/>
          <w:bCs/>
          <w:lang w:val="el" w:eastAsia="el"/>
        </w:rPr>
        <w:t>Την υπ΄αρ.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(Β΄1867).</w:t>
      </w:r>
    </w:p>
    <w:p>
      <w:pPr>
        <w:spacing w:before="240" w:after="240"/>
        <w:rPr>
          <w:lang w:val="el" w:eastAsia="el"/>
        </w:rPr>
      </w:pPr>
      <w:r>
        <w:rPr>
          <w:lang w:val="el" w:eastAsia="el"/>
        </w:rPr>
        <w:t xml:space="preserve">25.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26. </w:t>
      </w:r>
      <w:r>
        <w:rPr>
          <w:b/>
          <w:bCs/>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spacing w:before="240" w:after="240"/>
        <w:rPr>
          <w:lang w:val="el" w:eastAsia="el"/>
        </w:rPr>
      </w:pPr>
      <w:r>
        <w:rPr>
          <w:lang w:val="el" w:eastAsia="el"/>
        </w:rPr>
        <w:t xml:space="preserve">27. </w:t>
      </w:r>
      <w:r>
        <w:rPr>
          <w:b/>
          <w:bCs/>
          <w:lang w:val="el" w:eastAsia="el"/>
        </w:rPr>
        <w:t>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spacing w:before="240" w:after="240"/>
        <w:rPr>
          <w:lang w:val="el" w:eastAsia="el"/>
        </w:rPr>
      </w:pPr>
      <w:r>
        <w:rPr>
          <w:lang w:val="el" w:eastAsia="el"/>
        </w:rPr>
        <w:t xml:space="preserve">28. </w:t>
      </w:r>
      <w:r>
        <w:rPr>
          <w:b/>
          <w:bCs/>
          <w:lang w:val="el" w:eastAsia="el"/>
        </w:rPr>
        <w:t>Την υπ’ αρ. 109/12-3-2019 Πράξη του Διοικητή της Τράπεζας της Ελλάδος.</w:t>
      </w:r>
    </w:p>
    <w:p>
      <w:pPr>
        <w:spacing w:before="240" w:after="240"/>
        <w:rPr>
          <w:lang w:val="el" w:eastAsia="el"/>
        </w:rPr>
      </w:pPr>
      <w:r>
        <w:rPr>
          <w:lang w:val="el" w:eastAsia="el"/>
        </w:rPr>
        <w:t xml:space="preserve">29. </w:t>
      </w:r>
      <w:r>
        <w:rPr>
          <w:b/>
          <w:bCs/>
          <w:lang w:val="el" w:eastAsia="el"/>
        </w:rPr>
        <w:t>Την από 17.10.2022 εισήγηση του Διοικητή της Ανεξάρτητης Αρχής Δημοσίων Εσόδων (ΑΑΔΕ).</w:t>
      </w:r>
    </w:p>
    <w:p>
      <w:pPr>
        <w:spacing w:before="240" w:after="240"/>
        <w:rPr>
          <w:lang w:val="el" w:eastAsia="el"/>
        </w:rPr>
      </w:pPr>
      <w:r>
        <w:rPr>
          <w:lang w:val="el" w:eastAsia="el"/>
        </w:rPr>
        <w:t xml:space="preserve">30. </w:t>
      </w:r>
      <w:r>
        <w:rPr>
          <w:b/>
          <w:bCs/>
          <w:lang w:val="el" w:eastAsia="el"/>
        </w:rPr>
        <w:t>Την υπό στοιχεία 151997 ΕΞ 2022/18.10.2022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 xml:space="preserve">31. </w:t>
      </w:r>
      <w:r>
        <w:rPr>
          <w:b/>
          <w:bCs/>
          <w:lang w:val="el" w:eastAsia="el"/>
        </w:rPr>
        <w:t>Την υπό στοιχεία Α.1105/29.07.2022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lang w:val="el" w:eastAsia="el"/>
        </w:rPr>
        <w:t xml:space="preserve">32. </w:t>
      </w:r>
      <w:r>
        <w:rPr>
          <w:b/>
          <w:bCs/>
          <w:lang w:val="el" w:eastAsia="el"/>
        </w:rPr>
        <w:t>Την ανάγκη επικαιροποίησης της απόφασης υπό στοιχεία Α.1105/2022 αναφορικά με την θεσμοθετημένη επιχορήγηση του μεταφορικού κόστους και του κόστους δημοσιογραφικού χάρτου των εκδοτικών επιχειρήσεων.</w:t>
      </w:r>
    </w:p>
    <w:p>
      <w:pPr>
        <w:spacing w:before="240" w:after="240"/>
        <w:rPr>
          <w:lang w:val="el" w:eastAsia="el"/>
        </w:rPr>
      </w:pPr>
      <w:r>
        <w:rPr>
          <w:lang w:val="el" w:eastAsia="el"/>
        </w:rPr>
        <w:t xml:space="preserve">33. </w:t>
      </w:r>
      <w:r>
        <w:rPr>
          <w:b/>
          <w:bCs/>
          <w:lang w:val="el" w:eastAsia="el"/>
        </w:rPr>
        <w:t>Το γεγονός ότι, από τις διατάξεις της παρούσας απόφασης, δεν προκαλείται επιπλέον δαπάνη στον κρατικό προϋπολογισμό πέραν αυτής που προκλήθηκε με τον ν.4949/2022, όπως τροποποιήθηκε με το άρθρο 88 του ν.4982/2022 καθόσον με την παρούσα ρυθμίζονται θέματα διαδικαστικού χαρακτήρα.</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Α.1105/29.07.2022 κοινή απόφαση του Αναπληρωτή Υπουργού Οικονομικών, του Υφυπουργού Οικονομικών και του Υφυπουργού στον Πρωθυπουργό, ως ακολούθως:</w:t>
      </w:r>
    </w:p>
    <w:p>
      <w:pPr>
        <w:spacing w:before="240" w:after="240"/>
        <w:rPr>
          <w:lang w:val="el" w:eastAsia="el"/>
        </w:rPr>
      </w:pPr>
      <w:r>
        <w:rPr>
          <w:lang w:val="el" w:eastAsia="el"/>
        </w:rPr>
        <w:t xml:space="preserve">1. </w:t>
      </w:r>
      <w:r>
        <w:rPr>
          <w:b/>
          <w:bCs/>
          <w:lang w:val="el" w:eastAsia="el"/>
        </w:rPr>
        <w:t>Η παρ. 1 του άρθρου 5 αντικαθίσταται ως εξής :</w:t>
      </w:r>
    </w:p>
    <w:p>
      <w:pPr>
        <w:spacing w:before="240" w:after="240"/>
        <w:rPr>
          <w:lang w:val="el" w:eastAsia="el"/>
        </w:rPr>
      </w:pPr>
      <w:r>
        <w:rPr>
          <w:lang w:val="el" w:eastAsia="el"/>
        </w:rPr>
        <w:t xml:space="preserve">1. </w:t>
      </w:r>
      <w:r>
        <w:rPr>
          <w:b/>
          <w:bCs/>
          <w:lang w:val="el" w:eastAsia="el"/>
        </w:rPr>
        <w:t xml:space="preserve">Οι ενδιαφερόμενες επιχειρήσεις υποβάλλουν στην ψηφιακή πλατφόρμα myBusinessSupport αίτηση για τη χορήγηση της ως άνω ενίσχυσης μέχρι και την 10 </w:t>
      </w:r>
      <w:r>
        <w:rPr>
          <w:b/>
          <w:bCs/>
          <w:sz w:val="30"/>
          <w:szCs w:val="30"/>
          <w:vertAlign w:val="superscript"/>
          <w:lang w:val="el" w:eastAsia="el"/>
        </w:rPr>
        <w:t xml:space="preserve">η </w:t>
      </w:r>
      <w:r>
        <w:rPr>
          <w:b/>
          <w:bCs/>
          <w:lang w:val="el" w:eastAsia="el"/>
        </w:rPr>
        <w:t>ημέρα του τρίτου μήνα από τη λήξη εκάστου ημερολογιακού διμήνου ή τριμήνου.</w:t>
      </w:r>
    </w:p>
    <w:p>
      <w:pPr>
        <w:spacing w:before="240" w:after="240"/>
        <w:rPr>
          <w:lang w:val="el" w:eastAsia="el"/>
        </w:rPr>
      </w:pPr>
      <w:r>
        <w:rPr>
          <w:b/>
          <w:bCs/>
          <w:lang w:val="el" w:eastAsia="el"/>
        </w:rPr>
        <w:t>Ειδικά, κατά την πρώτη εφαρμογή της παρούσας, η προθεσμία για την υποβολή της αίτησης του πρώτου διμήνου και του δεύτερου ημερολογιακού τριμήνου 2022 ορίζεται η 30</w:t>
      </w:r>
      <w:r>
        <w:rPr>
          <w:b/>
          <w:bCs/>
          <w:sz w:val="30"/>
          <w:szCs w:val="30"/>
          <w:vertAlign w:val="superscript"/>
          <w:lang w:val="el" w:eastAsia="el"/>
        </w:rPr>
        <w:t>η</w:t>
      </w:r>
      <w:r>
        <w:rPr>
          <w:b/>
          <w:bCs/>
          <w:lang w:val="el" w:eastAsia="el"/>
        </w:rPr>
        <w:t xml:space="preserve"> Σεπτεμβρίου 2022. Για το τρίτο και τέταρτο τρίμηνο η αίτηση υποβάλλεται μέχρι και την 16</w:t>
      </w:r>
      <w:r>
        <w:rPr>
          <w:b/>
          <w:bCs/>
          <w:sz w:val="30"/>
          <w:szCs w:val="30"/>
          <w:vertAlign w:val="superscript"/>
          <w:lang w:val="el" w:eastAsia="el"/>
        </w:rPr>
        <w:t>η</w:t>
      </w:r>
      <w:r>
        <w:rPr>
          <w:b/>
          <w:bCs/>
          <w:lang w:val="el" w:eastAsia="el"/>
        </w:rPr>
        <w:t xml:space="preserve"> και 20</w:t>
      </w:r>
      <w:r>
        <w:rPr>
          <w:b/>
          <w:bCs/>
          <w:sz w:val="30"/>
          <w:szCs w:val="30"/>
          <w:vertAlign w:val="superscript"/>
          <w:lang w:val="el" w:eastAsia="el"/>
        </w:rPr>
        <w:t>η</w:t>
      </w:r>
      <w:r>
        <w:rPr>
          <w:b/>
          <w:bCs/>
          <w:lang w:val="el" w:eastAsia="el"/>
        </w:rPr>
        <w:t xml:space="preserve"> Δεκεμβρίου 2022 αντίστοιχα.</w:t>
      </w:r>
    </w:p>
    <w:p>
      <w:pPr>
        <w:spacing w:before="240" w:after="240"/>
        <w:rPr>
          <w:lang w:val="el" w:eastAsia="el"/>
        </w:rPr>
      </w:pPr>
      <w:r>
        <w:rPr>
          <w:b/>
          <w:bCs/>
          <w:lang w:val="el" w:eastAsia="el"/>
        </w:rPr>
        <w:t>Εξαιρετικά, κατά την υποβολή της αίτησης για το τρίτο τρίμηνο του 2022, για τη χορήγηση της ως άνω ενίσχυσης, η αιτούσα επιχείρηση δύναται να υποβάλλει αναδρομικά, ήτοι μέχρι και τη 16</w:t>
      </w:r>
      <w:r>
        <w:rPr>
          <w:b/>
          <w:bCs/>
          <w:sz w:val="30"/>
          <w:szCs w:val="30"/>
          <w:vertAlign w:val="superscript"/>
          <w:lang w:val="el" w:eastAsia="el"/>
        </w:rPr>
        <w:t>η</w:t>
      </w:r>
      <w:r>
        <w:rPr>
          <w:b/>
          <w:bCs/>
          <w:lang w:val="el" w:eastAsia="el"/>
        </w:rPr>
        <w:t xml:space="preserve"> Δεκεμβρίου, την αίτηση, καθώς και τα απαραίτητα παραστατικά των προηγούμενων διμήνου ή τριμήνου.</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3"/>
        <w:gridCol w:w="2289"/>
        <w:gridCol w:w="2228"/>
        <w:gridCol w:w="2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ΠΡΩΘΥΠΟΥΡΓΟ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ΤΣΑΚΙΡΗΣ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b/>
          <w:bCs/>
          <w:lang w:val="el" w:eastAsia="el"/>
        </w:rPr>
        <w:t>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Γραφείου Υφυπουργού στον Πρωθυπουργό</w:t>
      </w:r>
    </w:p>
    <w:p>
      <w:pPr>
        <w:spacing w:before="240" w:after="240"/>
        <w:rPr>
          <w:lang w:val="el" w:eastAsia="el"/>
        </w:rPr>
      </w:pPr>
      <w:r>
        <w:rPr>
          <w:lang w:val="el" w:eastAsia="el"/>
        </w:rPr>
        <w:t xml:space="preserve">2. </w:t>
      </w:r>
      <w:r>
        <w:rPr>
          <w:b/>
          <w:bCs/>
          <w:lang w:val="el" w:eastAsia="el"/>
        </w:rPr>
        <w:t>Γραφείο Υπουργού Ανάπτυξης και Επενδύσεων</w:t>
      </w:r>
    </w:p>
    <w:p>
      <w:pPr>
        <w:spacing w:before="240" w:after="240"/>
        <w:rPr>
          <w:lang w:val="el" w:eastAsia="el"/>
        </w:rPr>
      </w:pPr>
      <w:r>
        <w:rPr>
          <w:lang w:val="el" w:eastAsia="el"/>
        </w:rPr>
        <w:t xml:space="preserve">3. </w:t>
      </w:r>
      <w:r>
        <w:rPr>
          <w:b/>
          <w:bCs/>
          <w:lang w:val="el" w:eastAsia="el"/>
        </w:rPr>
        <w:t>Γραφείο Υφυπουργού Ανάπτυξης και Επενδύσεων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Υπηρεσιακής Γραμματέως Υπουργείου Οικονομικών</w:t>
      </w:r>
    </w:p>
    <w:p>
      <w:pPr>
        <w:spacing w:before="240" w:after="240"/>
        <w:rPr>
          <w:lang w:val="el" w:eastAsia="el"/>
        </w:rPr>
      </w:pPr>
      <w:r>
        <w:rPr>
          <w:lang w:val="el" w:eastAsia="el"/>
        </w:rPr>
        <w:t xml:space="preserve">4. </w:t>
      </w:r>
      <w:r>
        <w:rPr>
          <w:b/>
          <w:bCs/>
          <w:lang w:val="el" w:eastAsia="el"/>
        </w:rPr>
        <w:t>Γραφεία Γενικών Γραμματέων Υπουργείου Οικονομικών</w:t>
      </w:r>
    </w:p>
    <w:p>
      <w:pPr>
        <w:spacing w:before="240" w:after="240"/>
        <w:rPr>
          <w:lang w:val="el" w:eastAsia="el"/>
        </w:rPr>
      </w:pPr>
      <w:r>
        <w:rPr>
          <w:lang w:val="el" w:eastAsia="el"/>
        </w:rPr>
        <w:t xml:space="preserve">5. </w:t>
      </w:r>
      <w:r>
        <w:rPr>
          <w:b/>
          <w:bCs/>
          <w:lang w:val="el" w:eastAsia="el"/>
        </w:rPr>
        <w:t>Γενική Διεύθυνση Οικονομικών Υπηρεσιών Υπουργείου Οικονομικών</w:t>
      </w:r>
    </w:p>
    <w:p>
      <w:pPr>
        <w:spacing w:before="240" w:after="240"/>
        <w:rPr>
          <w:lang w:val="el" w:eastAsia="el"/>
        </w:rPr>
      </w:pPr>
      <w:r>
        <w:rPr>
          <w:lang w:val="el" w:eastAsia="el"/>
        </w:rPr>
        <w:t xml:space="preserve">6.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7. </w:t>
      </w:r>
      <w:r>
        <w:rPr>
          <w:b/>
          <w:bCs/>
          <w:lang w:val="el" w:eastAsia="el"/>
        </w:rPr>
        <w:t>Γραφεία κ.κ. Γεν. Διευθυντών ΑΑΔΕ</w:t>
      </w:r>
    </w:p>
    <w:p>
      <w:pPr>
        <w:spacing w:before="240" w:after="240"/>
        <w:rPr>
          <w:lang w:val="el" w:eastAsia="el"/>
        </w:rPr>
      </w:pPr>
      <w:r>
        <w:rPr>
          <w:lang w:val="el" w:eastAsia="el"/>
        </w:rPr>
        <w:t xml:space="preserve">8. </w:t>
      </w:r>
      <w:r>
        <w:rPr>
          <w:b/>
          <w:bCs/>
          <w:lang w:val="el" w:eastAsia="el"/>
        </w:rPr>
        <w:t>Δ/νση Ελέγχων ΑΑΔΕ - Τμήμα Α’</w:t>
      </w:r>
    </w:p>
    <w:p>
      <w:pPr>
        <w:spacing w:before="240" w:after="240"/>
        <w:rPr>
          <w:lang w:val="el" w:eastAsia="el"/>
        </w:rPr>
      </w:pPr>
      <w:r>
        <w:rPr>
          <w:lang w:val="el" w:eastAsia="el"/>
        </w:rPr>
        <w:t xml:space="preserve">9. </w:t>
      </w:r>
      <w:r>
        <w:rPr>
          <w:b/>
          <w:bCs/>
          <w:lang w:val="el" w:eastAsia="el"/>
        </w:rPr>
        <w:t>Δ/νση Εισπράξεων και Επιστροφών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