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1654/395150</w:t>
      </w:r>
    </w:p>
    <w:p>
      <w:pPr>
        <w:pStyle w:val="PreambelText"/>
        <w:spacing w:before="240" w:after="240"/>
        <w:rPr>
          <w:lang w:val="el" w:eastAsia="el"/>
        </w:rPr>
      </w:pPr>
      <w:r>
        <w:rPr>
          <w:b/>
          <w:bCs/>
          <w:lang w:val="el" w:eastAsia="el"/>
        </w:rPr>
        <w:t>Χορήγηση ενισχύσεων ήσσονος σημασίας (de minimis) στον τομέα της παραγωγής γεωργικών προϊόντων και ειδικότερα στον τομέα της καλλιέργειας ελιάς στην Περιφερειακή Ενότητα Λέσβου και λεπτομέρειες εφαρμογής, στο πλαίσιο εφαρμογής του Καν. (ΕΕ) αριθ. 1408/2013 (L352/24-12-2013) της Επιτροπής.</w:t>
      </w:r>
    </w:p>
    <w:p>
      <w:pPr>
        <w:pStyle w:val="PreambelText"/>
        <w:spacing w:before="240" w:after="240"/>
        <w:rPr>
          <w:lang w:val="el" w:eastAsia="el"/>
        </w:rPr>
      </w:pPr>
      <w:r>
        <w:rPr>
          <w:b/>
          <w:bCs/>
          <w:lang w:val="el" w:eastAsia="el"/>
        </w:rPr>
        <w:t>ΟΙ ΥΠΟΥΡΓΟΙ ΟΙΚΟΝΟΜΙΚΩΝ - 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2.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8/2022«Διορισμός Υπουργού Αγροτικής Ανάπτυξης και Τροφίμων (Α’ 19).</w:t>
      </w:r>
    </w:p>
    <w:p>
      <w:pPr>
        <w:pStyle w:val="PreambelText"/>
        <w:spacing w:before="240" w:after="240"/>
        <w:rPr>
          <w:lang w:val="el" w:eastAsia="el"/>
        </w:rPr>
      </w:pPr>
      <w:r>
        <w:rPr>
          <w:lang w:val="el" w:eastAsia="el"/>
        </w:rPr>
        <w:t>7. Την παρ. 10 του άρθρου 39 του ν. 2065/1992 «Αναμόρφωση της φορολογίας και άλλες διατάξεις»,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8. Τα άρθρα 66, 67 και την παρ. 3 του άρθρου 77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9. Τα άρθρα 13-29 του ν. 2637/98 περί «Σύστασης Οργανισμού Πληρωμών κι Ελέγχου Κοινοτικών Ενισχύσεων Προσανατολισμού κι Εγγυήσεων (Ο.Π.Ε.Κ.Ε.Π.Ε.)» (Α’ 200), όπως τροποποιήθηκαν και συμπληρώθηκαν με το άρθρο 4 του ν. 2732/99 (Α’ 154), το άρθρο 24 του ν. 2945/2001 (Α’ 223) και τις παρ. 1-8 του άρθρου 29 του ν. 3147/2003 (Α’ 135).</w:t>
      </w:r>
    </w:p>
    <w:p>
      <w:pPr>
        <w:pStyle w:val="PreambelText"/>
        <w:spacing w:before="240" w:after="240"/>
        <w:rPr>
          <w:lang w:val="el" w:eastAsia="el"/>
        </w:rPr>
      </w:pPr>
      <w:r>
        <w:rPr>
          <w:lang w:val="el" w:eastAsia="el"/>
        </w:rPr>
        <w:t>10. Την υπ’ αρ. 271562/2002 απόφαση του Υπουργού Γεωργίας περί «Εγκρίσεως του ΟΠΕΚΕΠΕ ως Οργανισμού Πληρωμής από 1-9-2002» (Β’ 1042).</w:t>
      </w:r>
    </w:p>
    <w:p>
      <w:pPr>
        <w:pStyle w:val="PreambelText"/>
        <w:spacing w:before="240" w:after="240"/>
        <w:rPr>
          <w:lang w:val="el" w:eastAsia="el"/>
        </w:rPr>
      </w:pPr>
      <w:r>
        <w:rPr>
          <w:lang w:val="el" w:eastAsia="el"/>
        </w:rPr>
        <w:t>11.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 ΓΕΠ» (Α’ 1205).</w:t>
      </w:r>
    </w:p>
    <w:p>
      <w:pPr>
        <w:pStyle w:val="PreambelText"/>
        <w:spacing w:before="240" w:after="240"/>
        <w:rPr>
          <w:lang w:val="el" w:eastAsia="el"/>
        </w:rPr>
      </w:pPr>
      <w:r>
        <w:rPr>
          <w:lang w:val="el" w:eastAsia="el"/>
        </w:rPr>
        <w:t>12. Την υπ’ αρ. 132537/28-04-2011 κοινή απόφαση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 Ν.Π.Ι.Δ.)» (Β’ 684).</w:t>
      </w:r>
    </w:p>
    <w:p>
      <w:pPr>
        <w:pStyle w:val="PreambelText"/>
        <w:spacing w:before="240" w:after="240"/>
        <w:rPr>
          <w:lang w:val="el" w:eastAsia="el"/>
        </w:rPr>
      </w:pPr>
      <w:r>
        <w:rPr>
          <w:lang w:val="el" w:eastAsia="el"/>
        </w:rPr>
        <w:t>13. Τον Κανονισμό (ΕΚ) αριθ.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24.12.2013).</w:t>
      </w:r>
    </w:p>
    <w:p>
      <w:pPr>
        <w:pStyle w:val="PreambelText"/>
        <w:spacing w:before="240" w:after="240"/>
        <w:rPr>
          <w:lang w:val="el" w:eastAsia="el"/>
        </w:rPr>
      </w:pPr>
      <w:r>
        <w:rPr>
          <w:lang w:val="el" w:eastAsia="el"/>
        </w:rPr>
        <w:t>14. Την ανάγκη στήριξης των παραγωγών γεωργικών προϊόντων σε περιόδους ειδικών δυσχερειών και ειδικότερα στον τομέα της καλλιέργειας ελιάς στην Περιφερειακή Ενότητα Λέσβου, η οποία επλήγη από δυσμενείς καιρικές συνθήκες (πολύ αυξημένες θερμοκρασίες την περίοδο γονιμοποίησης, ξηρασία θέρους κ.λπ.) κατά το ελαιοκομικό έτος 2020-2021, με σημαντικό αντίκτυπο στην παραγωγή ελαιόκαρπου.</w:t>
      </w:r>
    </w:p>
    <w:p>
      <w:pPr>
        <w:pStyle w:val="PreambelText"/>
        <w:spacing w:before="240" w:after="240"/>
        <w:rPr>
          <w:lang w:val="el" w:eastAsia="el"/>
        </w:rPr>
      </w:pPr>
      <w:r>
        <w:rPr>
          <w:lang w:val="el" w:eastAsia="el"/>
        </w:rPr>
        <w:t>15. Την εισήγηση του ΕΛΓΑ, σύμφωνα με το από 26/07/2021 έγγραφο.</w:t>
      </w:r>
    </w:p>
    <w:p>
      <w:pPr>
        <w:pStyle w:val="PreambelText"/>
        <w:spacing w:before="240" w:after="240"/>
        <w:rPr>
          <w:lang w:val="el" w:eastAsia="el"/>
        </w:rPr>
      </w:pPr>
      <w:r>
        <w:rPr>
          <w:lang w:val="el" w:eastAsia="el"/>
        </w:rPr>
        <w:t>16. Το γεγονός ότι το συνολικό ποσό ύψους 8.190.000 ευρώ που δύναται να χορηγηθεί ως ενίσχυση ήσσονος σημασίας «de minimis» στους τομείς που αναφέρονται στην παρ. 15 δεν υπερβαίνει το εθνικό ανώτατο όριο τριετίας, το οποίο για την Ελλάδα ανέρχεται σε 134.272.042 ευρώ σύμφωνα με τον Καν.(ΕΕ) αριθ. 1408/2013.</w:t>
      </w:r>
    </w:p>
    <w:p>
      <w:pPr>
        <w:pStyle w:val="PreambelText"/>
        <w:spacing w:before="240" w:after="240"/>
        <w:rPr>
          <w:lang w:val="el" w:eastAsia="el"/>
        </w:rPr>
      </w:pPr>
      <w:r>
        <w:rPr>
          <w:lang w:val="el" w:eastAsia="el"/>
        </w:rPr>
        <w:t>17. Το γεγονός ότι για την τριετία 2020-2022 έχουν χορηγηθεί μέχρι σήμερα ενισχύσεις ήσσονος σημασίας συνολικού ύψους 99.880.953 ευρώ στον γεωργικό τομέα.</w:t>
      </w:r>
    </w:p>
    <w:p>
      <w:pPr>
        <w:pStyle w:val="PreambelText"/>
        <w:spacing w:before="240" w:after="240"/>
        <w:rPr>
          <w:lang w:val="el" w:eastAsia="el"/>
        </w:rPr>
      </w:pPr>
      <w:r>
        <w:rPr>
          <w:lang w:val="el" w:eastAsia="el"/>
        </w:rPr>
        <w:t>18. Το γεγονός ότι από την εφαρμογή της παρούσας προκαλείται δαπάνη ύψους 8.190.000 ευρώ σε βάρος του ΕΛΕΓΕΠ, η οποία καλύπτεται με πιστώσεις που μεταφέρθηκαν με την υπ’ αρ. 2/186247/20.12.2022 απόφαση του Αναπληρωτή Υπουργού Οικονομικών για την ενίσχυση του (ΑΛΕ 2390901002 του Ε.Φ. 1029-501-0000000) του τακτικού προϋπολογισμού εξόδων του Υπουργείου Αγροτικής Ανάπτυξης και Τροφίμων.</w:t>
      </w:r>
    </w:p>
    <w:p>
      <w:pPr>
        <w:pStyle w:val="PreambelText"/>
        <w:spacing w:before="240" w:after="240"/>
        <w:rPr>
          <w:lang w:val="el" w:eastAsia="el"/>
        </w:rPr>
      </w:pPr>
      <w:r>
        <w:rPr>
          <w:lang w:val="el" w:eastAsia="el"/>
        </w:rPr>
        <w:t>19.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υπ’αρ. 23123/390549/22.12.2022 απόφαση έγκρισης δέσμευσης πίστωσης ύψους 8.190.000 ευρώ της Διεύθυνσης Οικονομικής Διαχείρισης του Υπουργείου Αγροτικής Ανάπτυξης και Τροφίμων, η οποία καταχωρήθηκε με α/α 95969 στο Βιβλίο Εγκρίσεων και Εντολών Πληρωμής της Γενικής Διεύθυνσης Οικονομικών Υπηρεσιών του Υπουργείου Αγροτικής Ανάπτυξης και Τροφίμων, ΑΔΑ: 6KTB4653ΠΓ-ΥΑ0.</w:t>
      </w:r>
    </w:p>
    <w:p>
      <w:pPr>
        <w:pStyle w:val="PreambelText"/>
        <w:spacing w:before="240" w:after="240"/>
        <w:rPr>
          <w:lang w:val="el" w:eastAsia="el"/>
        </w:rPr>
      </w:pPr>
      <w:r>
        <w:rPr>
          <w:lang w:val="el" w:eastAsia="el"/>
        </w:rPr>
        <w:t>21. Το από 19.12.2022 ηλεκτρονικό μήνυμα της ΚΕΜΚΕ, με την αντίστοιχη γνωμοδότηση.</w:t>
      </w:r>
    </w:p>
    <w:p>
      <w:pPr>
        <w:pStyle w:val="PreambelText"/>
        <w:spacing w:before="240" w:after="240"/>
        <w:rPr>
          <w:lang w:val="el" w:eastAsia="el"/>
        </w:rPr>
      </w:pPr>
      <w:r>
        <w:rPr>
          <w:lang w:val="el" w:eastAsia="el"/>
        </w:rPr>
        <w:t>22. Την υπ’ αρ. 1641/391319/22.12.2022 εισήγηση της Γενικής Διευθύντριας Οικονομικών Υπηρεσιών του Υπουργείου Αγροτικής Ανάπτυξης και Τροφίμων, της περ. ε’ της παρ. 5 του άρθρου 24 του ν. 4270/2014, όπως ισχύει επί του προτεινόμενου σχεδίου κοινής υπουργικής απόφασης,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σύμφωνα με τον Κανονισμό (ΕΕ) αριθ. 1408/2013 της Επιτροπής, όπως τροποποιήθηκε και ισχύει, με σκοπό τη στήριξη των ελαιοπαραγωγών στην Περιφερειακή Ενότητα Λέσβου.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κρατικής ενίσχυσης στο πλαίσιο της παρούσας είναι ελαιοπαραγωγοί, για ελαιοπερίβολα εντός των ορίων της Περιφερειακής Ενότητας Λέσβου, λόγω σημαντικής μείωσης στην παραγωγή ελαιόκαρπου κατά το ελαιοκομικό έτος 2020-2021 εξαιτίας δυσμενών καιρικών συνθηκών (πολύ αυξημένες θερμοκρασίες, ξηρασία θέρους κ.λπ.).</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Στο πλαίσιο της παρούσας απόφασης οι ενισχύσεις χορηγούνται με βάση τον Καν. (ΕΕ) αριθ. 1408/2013, όπως έχει τροποποιηθεί και ισχύει. Δεν δύνανται να χορηγηθούν ενισχύσεις:</w:t>
      </w:r>
    </w:p>
    <w:p>
      <w:pPr>
        <w:pStyle w:val="MainText"/>
        <w:spacing w:before="120" w:after="0"/>
        <w:rPr>
          <w:lang w:val="el" w:eastAsia="el"/>
        </w:rPr>
      </w:pPr>
      <w:r>
        <w:rPr>
          <w:b/>
          <w:bCs/>
          <w:lang w:val="el" w:eastAsia="el"/>
        </w:rPr>
        <w:t>1.</w:t>
      </w:r>
      <w:r>
        <w:rPr>
          <w:lang w:val="el" w:eastAsia="el"/>
        </w:rPr>
        <w:t xml:space="preserve"> Το ύψος των οποίων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2.</w:t>
      </w:r>
      <w:r>
        <w:rPr>
          <w:lang w:val="el" w:eastAsia="el"/>
        </w:rPr>
        <w:t xml:space="preserve">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pStyle w:val="MainText"/>
        <w:spacing w:before="120" w:after="0"/>
        <w:rPr>
          <w:lang w:val="el" w:eastAsia="el"/>
        </w:rPr>
      </w:pPr>
      <w:r>
        <w:rPr>
          <w:b/>
          <w:bCs/>
          <w:lang w:val="el" w:eastAsia="el"/>
        </w:rPr>
        <w:t>3.</w:t>
      </w:r>
      <w:r>
        <w:rPr>
          <w:lang w:val="el" w:eastAsia="el"/>
        </w:rPr>
        <w:t xml:space="preserve">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4.</w:t>
      </w:r>
      <w:r>
        <w:rPr>
          <w:lang w:val="el" w:eastAsia="el"/>
        </w:rPr>
        <w:t xml:space="preserve"> Οι δικαιούχοι των επιλέξιμων επιχειρήσεων με μικτή δραστηριότητα (δηλ. επιχειρήσεις που δραστηριοποιούνται σε επιλέξιμους και μη επιλέξιμους προς ενίσχυση τομείς) υποχρεούνται σε διακριτή λογιστική παρακολούθηση (τις παρ. 2 και 3 του άρθρου 1 του Καν. 1408/2013).</w:t>
      </w:r>
    </w:p>
    <w:p>
      <w:pPr>
        <w:pStyle w:val="MainText"/>
        <w:spacing w:before="120" w:after="0"/>
        <w:rPr>
          <w:lang w:val="el" w:eastAsia="el"/>
        </w:rPr>
      </w:pPr>
      <w:r>
        <w:rPr>
          <w:b/>
          <w:bCs/>
          <w:lang w:val="el" w:eastAsia="el"/>
        </w:rPr>
        <w:t>5.</w:t>
      </w:r>
      <w:r>
        <w:rPr>
          <w:lang w:val="el" w:eastAsia="el"/>
        </w:rPr>
        <w:t xml:space="preserve"> Η ενίσχυση χορηγείται μόνον εφόσον εξακριβωθεί ότι η εν λόγω ενίσχυση δεν αυξάνει το συνολικό ποσό των ενισχύσεων ήσσονος σημασίας που έχουν χορηγηθεί στην οικεία επιχείρηση σε επίπεδο που υπερβαίνει τα σχετικά ανώτατα όρια, το εθνικό και το τομεακό ανώτατο όριο που αναφέρονται στις παρ. 2, 3 και 3α του άρθρου 3, και ότι τηρούνται όλοι οι όροι του Καν (ΕΕ) αριθ. 1408/2013.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Δικαιούχοι της κρατικής ενίσχυσης ήσσονος σημασίας (de minimis) για την παρούσα απόφαση ορίζονται οι ελαιοπαραγωγοί της Περιφερειακής Ενότητας Λέσβου για αγροτεμάχια ελιάς εντός των ορίων της Περιφερειακής Ενότητας Λέσβου, οι οποίοι έχουν υποβάλλει δήλωση εκμετάλλευσης ενιαίας αίτησης ενίσχυσης για το έτος 2020, διαθέτουν παραγωγικά δέντρα και διατηρούν τουλάχιστον ένα (1) στρέμμα καλλιέργειας ελιών.</w:t>
      </w:r>
    </w:p>
    <w:p>
      <w:pPr>
        <w:pStyle w:val="MainText"/>
        <w:spacing w:before="120" w:after="0"/>
        <w:rPr>
          <w:lang w:val="el" w:eastAsia="el"/>
        </w:rPr>
      </w:pPr>
      <w:r>
        <w:rPr>
          <w:b/>
          <w:bCs/>
          <w:lang w:val="el" w:eastAsia="el"/>
        </w:rPr>
        <w:t>2.</w:t>
      </w:r>
      <w:r>
        <w:rPr>
          <w:lang w:val="el" w:eastAsia="el"/>
        </w:rPr>
        <w:t xml:space="preserve"> Το ύψος του ποσού ενίσχυσης ήσσονος σημασίας (de minimis) καθορίζεται σε 21 ευρώ ανά στρέμμα καλλιέργειας ελιών.</w:t>
      </w:r>
    </w:p>
    <w:p>
      <w:pPr>
        <w:pStyle w:val="MainText"/>
        <w:spacing w:before="120" w:after="0"/>
        <w:rPr>
          <w:lang w:val="el" w:eastAsia="el"/>
        </w:rPr>
      </w:pPr>
      <w:r>
        <w:rPr>
          <w:b/>
          <w:bCs/>
          <w:lang w:val="el" w:eastAsia="el"/>
        </w:rPr>
        <w:t>3.</w:t>
      </w:r>
      <w:r>
        <w:rPr>
          <w:lang w:val="el" w:eastAsia="el"/>
        </w:rPr>
        <w:t xml:space="preserve"> Οι Δικαιούχοι θα πρέπει να μην έχουν λάβει οι ίδιοι ή επιχείρηση δυνάμενη να λογισθεί ενιαία με αυτούς, σύμφωνα με την παρ. 2 του άρθρου 2 του Καν. (ΕΕ) αριθ. 1408/2013, κατά το τρέχον έτος και τα δύο προηγούμενα οικονομικά έτη ενισχύσεις ήσσονος σημασίας το ύψος των οποίων, συμπεριλαμβανόμενης της χορηγούμενης με την παρούσα, υπερβαίνει το ποσό των 20.000,00 ευρώ.</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σε οποιαδήποτε περίοδο τριών οικονομικών ετών δεν δύναται να υπερβαίνει το εθνικό ανώτατο όριο που καθορίζεται στο παράρτημα Ι του Καν. (ΕΕ) αριθ. 316/2019 (134.272.042€).</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6.</w:t>
      </w:r>
      <w:r>
        <w:rPr>
          <w:lang w:val="el" w:eastAsia="el"/>
        </w:rPr>
        <w:t xml:space="preserve"> Κάθε δικαιούχος που θα ενημερωθεί σχετικώς από τον Ο.Π.Ε.Κ.Ε.Π.Ε. οφείλει να προσκομίσει εντός δέκα (10) ημερολογιακών ημερών, το αργότερο, υπεύθυνη δήλωση σύμφωνα με το Παράρτημα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δαπάνη που προκύπτει από την εφαρμογή της παρούσας απόφασης βαρύνει τον Ειδικό Λογαριασμό Εγγυήσεων Γεωργικών Προϊόντων (ΕΛΕΓΕΠ), μετά την έκδοση χρηματικού εντάλματος σε βάρος των πιστώσεων του ΑΛΕ 2390901002 του Ε.Φ. 1029-501-0000000 του προϋπολογισμού εξόδων του Υπουργείου Αγροτικής Ανάπτυξης και Τροφίμων οικονομικού έτους 2022 με δικαιούχο τον ΟΠΕΚΕΠΕ.</w:t>
      </w:r>
    </w:p>
    <w:p>
      <w:pPr>
        <w:spacing w:before="240" w:after="240"/>
        <w:rPr>
          <w:lang w:val="el" w:eastAsia="el"/>
        </w:rPr>
      </w:pPr>
      <w:r>
        <w:rPr>
          <w:lang w:val="el" w:eastAsia="el"/>
        </w:rPr>
        <w:t>Για το έτος 2022 το ύψος της χρηματοδότησης ανέρχεται μέχρι του ποσού των 8.190.000 ευρώ υπό τον όρο μη υπέρβασης του ορίου του άρθρου 4 της παρούσας απόφασης.</w:t>
      </w:r>
    </w:p>
    <w:p>
      <w:pPr>
        <w:pStyle w:val="MainText"/>
        <w:spacing w:before="120" w:after="0"/>
        <w:rPr>
          <w:lang w:val="el" w:eastAsia="el"/>
        </w:rPr>
      </w:pPr>
      <w:r>
        <w:rPr>
          <w:b/>
          <w:bCs/>
          <w:lang w:val="el" w:eastAsia="el"/>
        </w:rPr>
        <w:t>2.</w:t>
      </w:r>
      <w:r>
        <w:rPr>
          <w:lang w:val="el" w:eastAsia="el"/>
        </w:rPr>
        <w:t xml:space="preserve"> Τυχόν αδιάθετα υπόλοιπα από την πίστωση της παρ. 1 επιστρέφονται από τον ΟΠΕΚΕΠΕ στον Κρατικό προϋπολογισμό(Α.Λ. Εσόδου 1590789001«Λοιπές επιστροφές ποσών»).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 χορήγηση της κρατικής ενίσχυσης ήσσονος σημασίας (de minimis) της παρούσης είναι ο Οργανισμός Πληρωμών και Ελέγχου Κοινοτικών Ενισχύσεων Προσανατολισμού και Εγγυήσεων (Ο.Π.Ε.Κ.Ε.Π.Ε.), ο οποίος ενημερώνει με κάθε πρόσφορο μέσο τους ενδιαφερομένους για το ποσό της κρατικής ενίσχυσης που θα λάβουν εφόσον πληρούν τις προϋποθέσεις του Καν. (ΕΕ) αριθ. 1408/2013 της Επιτροπής, όπως έχει τροποποιηθεί και ισχύει καθώς και ότι η ενίσχυση θεωρείται ήσσονος σημασίας με παραπομπή στον κανονισμό.</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3.</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 με βάση τα δηλωθέντα στοιχεία στη δήλωση εκμετάλλευσης-Αίτηση Ενιαίας Ενίσχυσης.</w:t>
      </w:r>
    </w:p>
    <w:p>
      <w:pPr>
        <w:pStyle w:val="StructureList1"/>
        <w:spacing w:before="120" w:after="0"/>
        <w:rPr>
          <w:lang w:val="el" w:eastAsia="el"/>
        </w:rPr>
      </w:pPr>
      <w:r>
        <w:rPr>
          <w:lang w:val="el" w:eastAsia="el"/>
        </w:rPr>
        <w:t>β)</w:t>
      </w:r>
      <w:r>
        <w:rPr>
          <w:lang w:val="en" w:eastAsia="en"/>
        </w:rPr>
        <w:tab/>
      </w:r>
      <w:r>
        <w:rPr>
          <w:lang w:val="el" w:eastAsia="el"/>
        </w:rPr>
        <w:t>ενημερώνει τους εν δυνάμει δικαιούχους για το ποσό της κρατικής ενίσχυσης που τους χορηγήθηκε, ηλεκτρονικά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την παρ. 2 του άρθρου 2 του Καν. (ΕΕ) αριθ. 1408/2013, όπως τροποποιήθηκε με τον Καν. (ΕΕ) αριθ. 316/2019, κατά το τρέχον έτος και τα δύο προηγούμενα οικονομικά έτη, ώστε να εξακριβωθεί ότι με την είσπραξη της νέας ενίσχυσης, το συνολικό ποσό των ενισχύσεων ήσσονος σημασίας δεν θα υπερβεί το ανώτατο ατομικό όριο των 20.000 ευρώ σε κυλιόμενη περίοδο τριών ετών σύμφωνα με την παρ. 2 του άρθρου 3 του ανωτέρω Κανονισμού.</w:t>
      </w:r>
    </w:p>
    <w:p>
      <w:pPr>
        <w:pStyle w:val="StructureList1"/>
        <w:spacing w:before="120" w:after="0"/>
        <w:rPr>
          <w:lang w:val="el" w:eastAsia="el"/>
        </w:rPr>
      </w:pPr>
      <w:r>
        <w:rPr>
          <w:lang w:val="el" w:eastAsia="el"/>
        </w:rPr>
        <w:t>δ)</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στo άρθρo 5 και στην παρ. 1 του άρθρου 6 του Καν. (EE) αριθ. 1408/2013.</w:t>
      </w:r>
    </w:p>
    <w:p>
      <w:pPr>
        <w:pStyle w:val="StructureList1"/>
        <w:spacing w:before="120" w:after="0"/>
        <w:rPr>
          <w:lang w:val="el" w:eastAsia="el"/>
        </w:rPr>
      </w:pPr>
      <w:r>
        <w:rPr>
          <w:lang w:val="el" w:eastAsia="el"/>
        </w:rPr>
        <w:t>ε)</w:t>
      </w:r>
      <w:r>
        <w:rPr>
          <w:lang w:val="en" w:eastAsia="en"/>
        </w:rPr>
        <w:tab/>
      </w:r>
      <w:r>
        <w:rPr>
          <w:lang w:val="el" w:eastAsia="el"/>
        </w:rPr>
        <w:t>η διενέργεια των ανωτέρω διασταυρωτικών ελέγχων πραγματοποιείται και με βάση τα στοιχεία που δηλώνουν οι δικαιούχοι σε υπεύθυνη δήλωση που υποβάλλουν σχετικά με τις ενισχύσεις ήσσονος σημασίας που έχουν λάβει - σε επίπεδο ενιαίας επιχείρησης - βάσει του Καν (ΕΕ) αριθ. 1408/2013 ή άλλων κανονισμών για ενισχύσεις ήσσονος σημασίας κατά τα δύο προηγούμενα οικονομικά έτη και κατά το τρέχον οικονομικό έτος [παρ. 1 του άρθρου 6 του Καν (ΕΕ) αριθ. 1408/2013, ως συνημμένο Παράρτημα ΥΔ De Minimis].</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κατά τους ανωτέρω ελέγχους διαπιστωθεί μη τήρηση των όρων του Καν (ΕΕ) αριθ. 1408/2013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pStyle w:val="MainText"/>
        <w:spacing w:before="120" w:after="0"/>
        <w:rPr>
          <w:lang w:val="el" w:eastAsia="el"/>
        </w:rPr>
      </w:pPr>
      <w:r>
        <w:rPr>
          <w:b/>
          <w:bCs/>
          <w:lang w:val="el" w:eastAsia="el"/>
        </w:rPr>
        <w:t>4.</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5.</w:t>
      </w:r>
      <w:r>
        <w:rPr>
          <w:lang w:val="el" w:eastAsia="el"/>
        </w:rPr>
        <w:t xml:space="preserve"> Η Διεύθυνση Πληρωμών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Σε περίπτωση εκ των υστέρων διαπίστωσης υπέρβασης του ανώτατου ορίου (παρ. 2 του άρθρο 3 του Καν. (ΕΕ) αριθ. 1408/2013) συνεπεία υπέρβασης του ποσού η αρμόδια υπηρεσία φροντίζει για την ανάκτηση της χορηγηθείσας ενίσχυσης στο σύνολό της στον δικαιούχο,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Ο ΟΠΕΚΕΠΕ οφείλει να ενημερώνει το Πληροφοριακό Σύστημα Σώρευσης Ενισχύσεων Ήσσονος Σημασίας (ΠΣΣΕΗΣ) για την εξέταση κρατικών ενισχύσεων στον τομέα της γεωργίας βάσει της υπό στοιχεία 59886/ ΕΥΚΕ913/11.6.2020 (Β’ 2417) κοινής υπουργικής απόφασης και σύμφωνα με τη διαδικασία που περιγράφεται στην υπ’ αρ. 121114/13.11.2020 εγκύκλιο (ΑΔΑ: 6Σ5Ρ46ΜΤΛΡ-2Σ2), όπως κάθε φορά επικαιροποιείται.</w:t>
      </w:r>
    </w:p>
    <w:p>
      <w:pPr>
        <w:pStyle w:val="MainText"/>
        <w:spacing w:before="120" w:after="0"/>
        <w:rPr>
          <w:lang w:val="el" w:eastAsia="el"/>
        </w:rPr>
      </w:pPr>
      <w:r>
        <w:rPr>
          <w:b/>
          <w:bCs/>
          <w:lang w:val="el" w:eastAsia="el"/>
        </w:rPr>
        <w:t>9.</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Κανονισμού (ΕΕ) αριθ. 1408/2013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b/>
          <w:bCs/>
          <w:lang w:val="el" w:eastAsia="el"/>
        </w:rPr>
        <w:t>ΠΑΡΑΡΤΗΜΑ Y/ Δ DE MINIMIS</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N.1599/1986)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MINIMIS)ΣΤΟΝ ΓΕΩΡΓΙΚΟ ΤΟΜΕΑ ΒΑΣΕΙ ΤΟΥ ΚΑΝΟΝΙΣΜΟΥ (EE) 1408/2013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5"/>
        <w:gridCol w:w="196"/>
        <w:gridCol w:w="245"/>
        <w:gridCol w:w="70"/>
        <w:gridCol w:w="4055"/>
        <w:gridCol w:w="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(ii</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lang w:val="el" w:eastAsia="el"/>
        </w:rPr>
        <w:t>με ΑΦΜ την οποία νομίμως εκπροσωπώ:</w:t>
      </w:r>
    </w:p>
    <w:p>
      <w:pPr>
        <w:spacing w:before="240" w:after="240"/>
        <w:rPr>
          <w:lang w:val="el" w:eastAsia="el"/>
        </w:rPr>
      </w:pPr>
      <w:r>
        <w:rPr>
          <w:lang w:val="el" w:eastAsia="el"/>
        </w:rPr>
        <w:t>Ι. Υποβάλλει την αίτηση χορήγησης προκειμένου να λάβει κρατική ενίσχυση η</w:t>
      </w:r>
    </w:p>
    <w:p>
      <w:pPr>
        <w:spacing w:before="240" w:after="240"/>
        <w:rPr>
          <w:lang w:val="el" w:eastAsia="el"/>
        </w:rPr>
      </w:pPr>
      <w:r>
        <w:rPr>
          <w:lang w:val="el" w:eastAsia="el"/>
        </w:rPr>
        <w:t>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ΙΙ. Δραστηριοποιείται στην πρωτογενή παραγωγή γεωργικών προϊόντων</w:t>
      </w:r>
      <w:r>
        <w:rPr>
          <w:sz w:val="30"/>
          <w:szCs w:val="30"/>
          <w:vertAlign w:val="superscript"/>
          <w:lang w:val="el" w:eastAsia="el"/>
        </w:rPr>
        <w:t>iv</w:t>
      </w:r>
      <w:r>
        <w:rPr>
          <w:lang w:val="el" w:eastAsia="el"/>
        </w:rPr>
        <w:t>.</w:t>
      </w:r>
    </w:p>
    <w:p>
      <w:pPr>
        <w:spacing w:before="240" w:after="240"/>
        <w:rPr>
          <w:lang w:val="el" w:eastAsia="el"/>
        </w:rPr>
      </w:pPr>
      <w:r>
        <w:rPr>
          <w:lang w:val="el" w:eastAsia="el"/>
        </w:rPr>
        <w:t>ΙΙΙ. Συνιστά «ενιαία επιχείρηση»</w:t>
      </w:r>
      <w:r>
        <w:rPr>
          <w:sz w:val="30"/>
          <w:szCs w:val="30"/>
          <w:vertAlign w:val="superscript"/>
          <w:lang w:val="el" w:eastAsia="el"/>
        </w:rPr>
        <w:t>ν</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Ιν. Δεν συνιστά «ενιαία επιχείρηση» με καμία άλλη επιχείρηση</w:t>
      </w:r>
    </w:p>
    <w:p>
      <w:pPr>
        <w:spacing w:before="240" w:after="240"/>
        <w:rPr>
          <w:lang w:val="el" w:eastAsia="el"/>
        </w:rPr>
      </w:pPr>
      <w:r>
        <w:rPr>
          <w:lang w:val="el" w:eastAsia="el"/>
        </w:rPr>
        <w:t>B. Η ενίσχυση ήσσσνσς σημασίας πσυ πρόκειται να χαρηγηθεί</w:t>
      </w:r>
      <w:r>
        <w:rPr>
          <w:sz w:val="30"/>
          <w:szCs w:val="30"/>
          <w:vertAlign w:val="superscript"/>
          <w:lang w:val="el" w:eastAsia="el"/>
        </w:rPr>
        <w:t>ν</w:t>
      </w:r>
      <w:r>
        <w:rPr>
          <w:lang w:val="el" w:eastAsia="el"/>
        </w:rPr>
        <w:t xml:space="preserve">' στην ως άνω επιχείρηση </w:t>
      </w:r>
      <w:r>
        <w:rPr>
          <w:sz w:val="30"/>
          <w:szCs w:val="30"/>
          <w:vertAlign w:val="superscript"/>
          <w:lang w:val="el" w:eastAsia="el"/>
        </w:rPr>
        <w:t>vii, viii</w:t>
      </w:r>
      <w:r>
        <w:rPr>
          <w:lang w:val="el" w:eastAsia="el"/>
        </w:rPr>
        <w:t xml:space="preserve"> βάσει της ΚΥΑ αφσρά δραστηριότητες της επιχείρησης πσυ </w:t>
      </w:r>
      <w:r>
        <w:rPr>
          <w:b/>
          <w:bCs/>
          <w:lang w:val="el" w:eastAsia="el"/>
        </w:rPr>
        <w:t xml:space="preserve">δεν </w:t>
      </w:r>
      <w:r>
        <w:rPr>
          <w:lang w:val="el" w:eastAsia="el"/>
        </w:rPr>
        <w:t>εμπίπτσυν:</w:t>
      </w:r>
    </w:p>
    <w:p>
      <w:pPr>
        <w:spacing w:before="240" w:after="240"/>
        <w:rPr>
          <w:lang w:val="el" w:eastAsia="el"/>
        </w:rPr>
      </w:pPr>
      <w:r>
        <w:rPr>
          <w:lang w:val="el" w:eastAsia="el"/>
        </w:rPr>
        <w:t>ί) σε ενισχύσεις τσ ύψσς των σπσίων καθσρίζεται βάσει της τιμής ή της πσσότητας των πρσϊόντων πσυ διατίθενται στην αγσρά,</w:t>
      </w:r>
    </w:p>
    <w:p>
      <w:pPr>
        <w:spacing w:before="240" w:after="240"/>
        <w:rPr>
          <w:lang w:val="el" w:eastAsia="el"/>
        </w:rPr>
      </w:pPr>
      <w:r>
        <w:rPr>
          <w:lang w:val="el" w:eastAsia="el"/>
        </w:rPr>
        <w:t>ίί) σε ενισχύσεις για δραστηριότητες πσυ σχετίζσνται με εξαγωγές πρσς τρίτες χώρες ή πρσς κράτη μέλη, συγκεκριμένα ενισχύσεις πσυ συνδέσνται άμεσα με τις εξαγόμενες πσσότητες, τη δημισυργία και λειτσυργία δικτύσυ διανσμής ή άλλες τρέχσυσες δαπάνες συνδεόμενες με εξαγωγικές δραστηριότητες, ίίί) σε ενισχύσεις πσυ χσρηγσύνται υπό τσν όρσ της χρησιμσπσίησης εγχώριων πρσϊόντων αντί των εισαγσμένων.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1407/2013)</w:t>
      </w:r>
    </w:p>
    <w:p>
      <w:pPr>
        <w:spacing w:before="240" w:after="240"/>
        <w:rPr>
          <w:lang w:val="el" w:eastAsia="el"/>
        </w:rPr>
      </w:pPr>
      <w:r>
        <w:rPr>
          <w:lang w:val="el" w:eastAsia="el"/>
        </w:rPr>
        <w:t xml:space="preserve">Η επιχείρηση, καθώς δραστηρισπσιείται </w:t>
      </w:r>
      <w:r>
        <w:rPr>
          <w:i/>
          <w:iCs/>
          <w:lang w:val="el" w:eastAsia="el"/>
        </w:rPr>
        <w:t>στσν</w:t>
      </w:r>
      <w:r>
        <w:rPr>
          <w:lang w:val="el" w:eastAsia="el"/>
        </w:rPr>
        <w:t xml:space="preserve"> τσμέα (στσυς τσμείς) </w:t>
      </w:r>
      <w:r>
        <w:rPr>
          <w:i/>
          <w:iCs/>
          <w:lang w:val="el" w:eastAsia="el"/>
        </w:rPr>
        <w:t>στσν</w:t>
      </w:r>
      <w:r>
        <w:rPr>
          <w:lang w:val="el" w:eastAsia="el"/>
        </w:rPr>
        <w:t xml:space="preserve"> σπσίσ (στσυς</w:t>
      </w:r>
    </w:p>
    <w:p>
      <w:pPr>
        <w:spacing w:before="240" w:after="240"/>
        <w:rPr>
          <w:lang w:val="el" w:eastAsia="el"/>
        </w:rPr>
      </w:pPr>
      <w:r>
        <w:rPr>
          <w:lang w:val="el" w:eastAsia="el"/>
        </w:rPr>
        <w:t>σπσίσυς) εφαρμόζεται σ Κανσνισμός(ΕΕ) 1407/2013, διασφαλίζει με κατάλληλα μέσα, όπως σ διαχωρισμός των δραστηριστήτων ή η διάκριση των στσιχείων κόστσυς, ότι δεν ενισχύσνται δυνάμει τσυ εν λόγω κανσνισμσύ σι δραστηριότητες της πρωτσγενσύς παραγωγής γεωργικών πρσϊόντων.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δραστηρισπσιείται στσυς τσμείς της αλιείας και της υδατσκαλλιέργειας στσυς σπσίσυς εφαρμόζεται σ Κανσνισμός (ΕΕ) 717/2014, διασφαλίζει με κατάλληλα μέσα, όπως σ διαχωρισμός των δραστηριστήτων ή η διάκριση των στσιχείων κόστσυς, ότι δεν ενισχύσνται δυνάμει τσυ εν λόγω κανσνισμσύ σι δραστηριότητες της πρωτσγενσύς παραγωγής γεωργικών πρσϊόντων.</w:t>
      </w:r>
    </w:p>
    <w:p>
      <w:pPr>
        <w:spacing w:before="240" w:after="240"/>
        <w:rPr>
          <w:lang w:val="el" w:eastAsia="el"/>
        </w:rPr>
      </w:pPr>
      <w:r>
        <w:rPr>
          <w:b/>
          <w:bCs/>
          <w:lang w:val="el" w:eastAsia="el"/>
        </w:rPr>
        <w:t xml:space="preserve">Ε. </w:t>
      </w:r>
      <w:r>
        <w:rPr>
          <w:lang w:val="el" w:eastAsia="el"/>
        </w:rPr>
        <w:t>Στην επιχείρηση, συμπεριλαμβανσμένων και των επιχειρήσεων πσυ συνιστσύν με αυτήν «ενιαία επιχείρηση», έχσυν χσρηγηθεί, κατά τσ τρέχσν σικσνσμικό έτσς και τα δύσ πρσηγσύμενα σικσνσμικά έτη, σι κάτωθι ενισχύσεις ήσσσνσς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ΑΡΙΘ.ΠΡΩΤ. </w:t>
            </w:r>
            <w:r>
              <w:rPr>
                <w:b/>
                <w:bCs/>
                <w:i/>
                <w:iCs/>
                <w:smallCaps w:val="0"/>
                <w:color w:val="000000"/>
                <w:lang w:val="el" w:eastAsia="el"/>
              </w:rPr>
              <w:t xml:space="preserve">&amp; </w:t>
            </w: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ΕΝΙΣΧΥΣΗΣθ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ΣΤ.</w:t>
      </w:r>
      <w:r>
        <w:rPr>
          <w:lang w:val="el" w:eastAsia="el"/>
        </w:rPr>
        <w:t>Η ενίσχυση ήσσσνσς σημασίας πσυ πρόκειται να χσρηγηθεί στην επιχείρηση βάσει της εν λόγω ΚΥΑ, αθρσιζόμενη με σπσιαδήπστε άλλη ενίσχυση ήσσσνσς σημασίας πσυ της έχει χσρηγηθεί σε επίπεδσ «ενιαίας επιχείρησης», κατά τσ τρέχσν σικσνσμικό έτσς και τα δύσ πρσηγσύμενα σικσνσμικά έτη, δεν υπερβαίνει τσ πσσό των 20.000 ευρώ.</w:t>
      </w:r>
    </w:p>
    <w:p>
      <w:pPr>
        <w:spacing w:before="240" w:after="240"/>
        <w:rPr>
          <w:lang w:val="el" w:eastAsia="el"/>
        </w:rPr>
      </w:pPr>
      <w:r>
        <w:rPr>
          <w:b/>
          <w:bCs/>
          <w:lang w:val="el" w:eastAsia="el"/>
        </w:rPr>
        <w:t xml:space="preserve">Z.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1407/2013)</w:t>
      </w:r>
    </w:p>
    <w:p>
      <w:pPr>
        <w:spacing w:before="240" w:after="240"/>
        <w:rPr>
          <w:lang w:val="el" w:eastAsia="el"/>
        </w:rPr>
      </w:pPr>
      <w:r>
        <w:rPr>
          <w:lang w:val="el" w:eastAsia="el"/>
        </w:rPr>
        <w:t>Η ενίσχυση ήσσσνσς σημασίας πσυ πρόκειται να χσρηγηθεί στην επιχείρηση βάσει της εν λόγω ΚΥΑ, αθρσιζόμενη με σπσιαδήπστε άλλη ενίσχυση ήσσσνσς σημασίας πσυ χσρηγείται βάσει τσυ Κανσνισμσύ (ΕΕ) αριθ. 1407/2013, κατά τσ τρέχσν σικσνσμικό έτσς και τα δύσ πρσηγσύμενα σικσνσμικά έτη, δεν υπερβαίνει τσ πσσό των 200.000 ευρώ ή, στην περίπτωση επιχείρησης πσυ εκτελεί σδικές εμπσρευματικές μεταφσρές για λσγαριασμό τρίτων, τσ πσσό των 100.000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ενίσχυση ήσσσνσς σημασίας πσυ πρόκειται να χσρηγηθεί στην επιχείρηση βάσει της εν λόγω ΚΥΑ, αθρσιζόμενη με σπσιαδήπστε άλλη ενίσχυση ήσσσνσς σημασίας πσυ χσρηγείται για δραστηριότητα στσυς τσμείς της αλιείας και της υδατσκαλλιέργειας βάσει τσυ Κανσνισμσύ (ΕΕ) αριθ. 171/2014, κατά τσ τρέχσν σικσνσμικό έτσς και τα δύσ πρσηγσύμενα σικσνσμικά έτη, δεν υπερβαίνει τσ δεν υπερβαίνει τσ πσσό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τσ ίδισ μέτρσ χρηματσδότησης υψηλσύ κινδύνσυ, η σώρευση των σπσίων σδηγεί σε υπέρβαση της υψηλότερης σχετικής έντασης ενίσχυσης ή τσυ πσσσύ ενίσχυσης πσυ έχει καθσριστεί με βάση τα συγκεκριμένα δεδσμένα κάθε περίπτωσης σε κανσνισμό απαλλαγής κατά κατηγσρία ή απόφαση πσυ έχει εκδώσει η Επιτρσπή.</w:t>
      </w:r>
    </w:p>
    <w:p>
      <w:pPr>
        <w:spacing w:before="240" w:after="240"/>
        <w:rPr>
          <w:lang w:val="el" w:eastAsia="el"/>
        </w:rPr>
      </w:pPr>
      <w:r>
        <w:rPr>
          <w:lang w:val="el" w:eastAsia="el"/>
        </w:rPr>
        <w:t>I. Απσδέχσμαι σπσισνδήπστε σχετικό έλεγχσ για την εξακρίβωση των δηλωθέντων στσιχείων από τις αρμόδιες εθνικές ή ενωσιακές αρχές, καθώς και τη διασταύρωση αυτών με τα στσιχεία πσυ παρέχσνται από τα πληρσφσριακά συστήματα δημσσίων υπηρεσιών και ασφαλιστικών σργανισμών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0 - Η Δηλ.</w:t>
      </w:r>
    </w:p>
    <w:p>
      <w:pPr>
        <w:spacing w:before="240" w:after="240"/>
        <w:rPr>
          <w:lang w:val="el" w:eastAsia="el"/>
        </w:rPr>
      </w:pPr>
      <w:r>
        <w:rPr>
          <w:lang w:val="el" w:eastAsia="el"/>
        </w:rPr>
        <w:t>(Υπσγραφή)</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Αποδέκτες προς Ενέρνεια</w:t>
      </w:r>
      <w:r>
        <w:rPr>
          <w:lang w:val="el" w:eastAsia="el"/>
        </w:rPr>
        <w:t>:</w:t>
      </w:r>
    </w:p>
    <w:p>
      <w:pPr>
        <w:spacing w:before="240" w:after="240"/>
        <w:rPr>
          <w:lang w:val="el" w:eastAsia="el"/>
        </w:rPr>
      </w:pPr>
      <w:r>
        <w:rPr>
          <w:lang w:val="el" w:eastAsia="el"/>
        </w:rPr>
        <w:t xml:space="preserve">1 </w:t>
      </w:r>
      <w:r>
        <w:rPr>
          <w:b/>
          <w:bCs/>
          <w:lang w:val="el" w:eastAsia="el"/>
        </w:rPr>
        <w:t>Υπουρνείο Ανροτικής Ανάπτυξης και Τροφίμων</w:t>
      </w:r>
    </w:p>
    <w:p>
      <w:pPr>
        <w:pStyle w:val="StructureList1"/>
        <w:spacing w:before="120" w:after="0"/>
        <w:rPr>
          <w:lang w:val="el" w:eastAsia="el"/>
        </w:rPr>
      </w:pPr>
      <w:r>
        <w:rPr>
          <w:lang w:val="el" w:eastAsia="el"/>
        </w:rPr>
        <w:t>-</w:t>
      </w:r>
      <w:r>
        <w:rPr>
          <w:lang w:val="en" w:eastAsia="en"/>
        </w:rPr>
        <w:tab/>
      </w:r>
      <w:r>
        <w:rPr>
          <w:b/>
          <w:bCs/>
          <w:lang w:val="el" w:eastAsia="el"/>
        </w:rPr>
        <w:t>Γενική Δ/νση Οικονομικών Υπηρεσιών</w:t>
      </w:r>
    </w:p>
    <w:p>
      <w:pPr>
        <w:spacing w:before="240" w:after="240"/>
        <w:rPr>
          <w:lang w:val="el" w:eastAsia="el"/>
        </w:rPr>
      </w:pPr>
      <w:r>
        <w:rPr>
          <w:b/>
          <w:bCs/>
          <w:lang w:val="el" w:eastAsia="el"/>
        </w:rPr>
        <w:t xml:space="preserve">2 </w:t>
      </w:r>
      <w:r>
        <w:rPr>
          <w:b/>
          <w:bCs/>
          <w:lang w:val="el" w:eastAsia="el"/>
        </w:rPr>
        <w:t>Ο.Π.Ε.Κ.Ε.Π.Ε.</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Προέδρου</w:t>
      </w:r>
    </w:p>
    <w:p>
      <w:pPr>
        <w:pStyle w:val="StructureList1"/>
        <w:spacing w:before="120" w:after="0"/>
        <w:rPr>
          <w:lang w:val="el" w:eastAsia="el"/>
        </w:rPr>
      </w:pPr>
      <w:r>
        <w:rPr>
          <w:b/>
          <w:bCs/>
          <w:lang w:val="el" w:eastAsia="el"/>
        </w:rPr>
        <w:t>-</w:t>
      </w:r>
      <w:r>
        <w:rPr>
          <w:b/>
          <w:bCs/>
          <w:lang w:val="en" w:eastAsia="en"/>
        </w:rPr>
        <w:tab/>
      </w:r>
      <w:r>
        <w:rPr>
          <w:b/>
          <w:bCs/>
          <w:lang w:val="el" w:eastAsia="el"/>
        </w:rPr>
        <w:t>Δ/νση Πληρωμών Αγροτικών Ενισχύσεων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Αμέσων Ενισχύσεων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Πληροφορικής</w:t>
      </w:r>
    </w:p>
    <w:p>
      <w:pPr>
        <w:spacing w:before="240" w:after="240"/>
        <w:rPr>
          <w:lang w:val="el" w:eastAsia="el"/>
        </w:rPr>
      </w:pPr>
      <w:r>
        <w:rPr>
          <w:b/>
          <w:bCs/>
          <w:u w:val="single"/>
          <w:lang w:val="el" w:eastAsia="el"/>
        </w:rPr>
        <w:t xml:space="preserve">Αποδέκτες </w:t>
      </w:r>
      <w:r>
        <w:rPr>
          <w:b/>
          <w:bCs/>
          <w:i/>
          <w:iCs/>
          <w:u w:val="single"/>
          <w:lang w:val="el" w:eastAsia="el"/>
        </w:rPr>
        <w:t>προς</w:t>
      </w:r>
      <w:r>
        <w:rPr>
          <w:b/>
          <w:bCs/>
          <w:u w:val="single"/>
          <w:lang w:val="el" w:eastAsia="el"/>
        </w:rPr>
        <w:t xml:space="preserve"> κοινοποίηση</w:t>
      </w:r>
      <w:r>
        <w:rPr>
          <w:b/>
          <w:bCs/>
          <w:lang w:val="el" w:eastAsia="el"/>
        </w:rPr>
        <w:t>:</w:t>
      </w:r>
    </w:p>
    <w:p>
      <w:pPr>
        <w:spacing w:before="240" w:after="240"/>
        <w:rPr>
          <w:lang w:val="el" w:eastAsia="el"/>
        </w:rPr>
      </w:pPr>
      <w:r>
        <w:rPr>
          <w:b/>
          <w:bCs/>
          <w:lang w:val="el" w:eastAsia="el"/>
        </w:rPr>
        <w:t xml:space="preserve">1 </w:t>
      </w:r>
      <w:r>
        <w:rPr>
          <w:b/>
          <w:bCs/>
          <w:lang w:val="el" w:eastAsia="el"/>
        </w:rPr>
        <w:t>Υπουρνείο Ανροτικής Ανάπτυξης και Τροφίμων</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Υπουργού κου Γεωργαντά</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Υφυπουργού κου Κεδίκογλου</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Υφυπουργού κου Στύλλιου</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Γραφεία κ.κ. Γεν. Γραμματέων</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Γεωργίας</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Αγροτικής Ανάπτυξης</w:t>
      </w:r>
    </w:p>
    <w:p>
      <w:pPr>
        <w:spacing w:before="240" w:after="240"/>
        <w:rPr>
          <w:lang w:val="el" w:eastAsia="el"/>
        </w:rPr>
      </w:pPr>
      <w:r>
        <w:rPr>
          <w:b/>
          <w:bCs/>
          <w:lang w:val="el" w:eastAsia="el"/>
        </w:rPr>
        <w:t>Υπουρνείο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Αν. Υπουργού κου Σκυλακάκη.</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Γενικού Γραμματέα Δημοσιονομικής Πολιτικής</w:t>
      </w:r>
    </w:p>
    <w:p>
      <w:pPr>
        <w:pStyle w:val="StructureList1"/>
        <w:spacing w:before="120" w:after="0"/>
        <w:rPr>
          <w:lang w:val="el" w:eastAsia="el"/>
        </w:rPr>
      </w:pPr>
      <w:r>
        <w:rPr>
          <w:b/>
          <w:bCs/>
          <w:lang w:val="el" w:eastAsia="el"/>
        </w:rPr>
        <w:t>-</w:t>
      </w:r>
      <w:r>
        <w:rPr>
          <w:b/>
          <w:bCs/>
          <w:lang w:val="en" w:eastAsia="en"/>
        </w:rPr>
        <w:tab/>
      </w:r>
      <w:r>
        <w:rPr>
          <w:b/>
          <w:bCs/>
          <w:lang w:val="el" w:eastAsia="el"/>
        </w:rPr>
        <w:t>Γενικό Λογιστήριο του Κράτους</w:t>
      </w:r>
    </w:p>
    <w:p>
      <w:pPr>
        <w:spacing w:before="240" w:after="240"/>
        <w:rPr>
          <w:lang w:val="el" w:eastAsia="el"/>
        </w:rPr>
      </w:pPr>
      <w:r>
        <w:rPr>
          <w:b/>
          <w:bCs/>
          <w:lang w:val="el" w:eastAsia="el"/>
        </w:rPr>
        <w:t>Δ/νση 20η Προϋπολογισμού - Πανεπιστημίου 37, Αθήνα</w:t>
      </w:r>
    </w:p>
    <w:p>
      <w:pPr>
        <w:spacing w:before="240" w:after="240"/>
        <w:rPr>
          <w:lang w:val="el" w:eastAsia="el"/>
        </w:rPr>
      </w:pPr>
      <w:r>
        <w:rPr>
          <w:b/>
          <w:bCs/>
          <w:sz w:val="30"/>
          <w:szCs w:val="30"/>
          <w:vertAlign w:val="superscript"/>
          <w:lang w:val="el" w:eastAsia="el"/>
        </w:rPr>
        <w:t>i</w:t>
      </w:r>
      <w:r>
        <w:rPr>
          <w:b/>
          <w:bCs/>
          <w:lang w:val="el" w:eastAsia="el"/>
        </w:rPr>
        <w:t xml:space="preserve">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sz w:val="30"/>
          <w:szCs w:val="30"/>
          <w:vertAlign w:val="superscript"/>
          <w:lang w:val="el" w:eastAsia="el"/>
        </w:rPr>
        <w:t>ii</w:t>
      </w:r>
      <w:r>
        <w:rPr>
          <w:b/>
          <w:bCs/>
          <w:lang w:val="el" w:eastAsia="el"/>
        </w:rPr>
        <w:t xml:space="preserve"> Αναγράφεται ολογράφως.</w:t>
      </w:r>
    </w:p>
    <w:p>
      <w:pPr>
        <w:spacing w:before="240" w:after="240"/>
        <w:rPr>
          <w:lang w:val="el" w:eastAsia="el"/>
        </w:rPr>
      </w:pPr>
      <w:r>
        <w:rPr>
          <w:b/>
          <w:bCs/>
          <w:sz w:val="30"/>
          <w:szCs w:val="30"/>
          <w:vertAlign w:val="superscript"/>
          <w:lang w:val="el" w:eastAsia="el"/>
        </w:rPr>
        <w:t>iii</w:t>
      </w:r>
      <w:r>
        <w:rPr>
          <w:b/>
          <w:bCs/>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sz w:val="30"/>
          <w:szCs w:val="30"/>
          <w:vertAlign w:val="superscript"/>
          <w:lang w:val="el" w:eastAsia="el"/>
        </w:rPr>
        <w:t>iv</w:t>
      </w:r>
      <w:r>
        <w:rPr>
          <w:b/>
          <w:bCs/>
          <w:lang w:val="el" w:eastAsia="el"/>
        </w:rPr>
        <w:t xml:space="preserve"> Νοούνται ως «γεωργικά προϊόντα» τα προϊόντα που απαριθμούνται στο παράρτημα Ι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b/>
          <w:bCs/>
          <w:sz w:val="30"/>
          <w:szCs w:val="30"/>
          <w:vertAlign w:val="superscript"/>
          <w:lang w:val="el" w:eastAsia="el"/>
        </w:rPr>
        <w:t>v</w:t>
      </w:r>
      <w:r>
        <w:rPr>
          <w:b/>
          <w:bCs/>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b/>
          <w:bCs/>
          <w:lang w:val="el" w:eastAsia="el"/>
        </w:rPr>
        <w:t>α)</w:t>
      </w:r>
      <w:r>
        <w:rPr>
          <w:b/>
          <w:bCs/>
          <w:lang w:val="en" w:eastAsia="en"/>
        </w:rPr>
        <w:tab/>
      </w:r>
      <w:r>
        <w:rPr>
          <w:b/>
          <w:b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b/>
          <w:bCs/>
          <w:lang w:val="el" w:eastAsia="el"/>
        </w:rPr>
        <w:t>δ)</w:t>
      </w:r>
      <w:r>
        <w:rPr>
          <w:b/>
          <w:bCs/>
          <w:lang w:val="en" w:eastAsia="en"/>
        </w:rPr>
        <w:tab/>
      </w:r>
      <w:r>
        <w:rPr>
          <w:b/>
          <w:b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b/>
          <w:b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b/>
          <w:bCs/>
          <w:sz w:val="30"/>
          <w:szCs w:val="30"/>
          <w:vertAlign w:val="superscript"/>
          <w:lang w:val="el" w:eastAsia="el"/>
        </w:rPr>
        <w:t>vi</w:t>
      </w:r>
      <w:r>
        <w:rPr>
          <w:b/>
          <w:bCs/>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b/>
          <w:bCs/>
          <w:lang w:val="el" w:eastAsia="el"/>
        </w:rPr>
        <w:t>vii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b/>
          <w:bCs/>
          <w:lang w:val="el" w:eastAsia="el"/>
        </w:rPr>
        <w:t>viii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b/>
          <w:bCs/>
          <w:lang w:val="el" w:eastAsia="el"/>
        </w:rPr>
        <w:t>ix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28 Δεκεμβρίου 2022</w:t>
      </w:r>
    </w:p>
    <w:p>
      <w:pPr>
        <w:spacing w:before="240" w:after="240"/>
        <w:rPr>
          <w:lang w:val="el" w:eastAsia="el"/>
        </w:rPr>
      </w:pPr>
      <w:r>
        <w:rPr>
          <w:b/>
          <w:bCs/>
          <w:lang w:val="el" w:eastAsia="el"/>
        </w:rPr>
        <w:t>Oι Υπουργοί</w:t>
      </w:r>
    </w:p>
    <w:p>
      <w:pPr>
        <w:spacing w:before="240" w:after="240"/>
        <w:rPr>
          <w:lang w:val="el" w:eastAsia="el"/>
        </w:rPr>
      </w:pPr>
      <w:r>
        <w:rPr>
          <w:b/>
          <w:bCs/>
          <w:lang w:val="el" w:eastAsia="el"/>
        </w:rPr>
        <w:t>Αναπληρωτής</w:t>
      </w:r>
    </w:p>
    <w:p>
      <w:pPr>
        <w:spacing w:before="240" w:after="240"/>
        <w:rPr>
          <w:lang w:val="el" w:eastAsia="el"/>
        </w:rPr>
      </w:pPr>
      <w:r>
        <w:rPr>
          <w:b/>
          <w:bCs/>
          <w:lang w:val="el" w:eastAsia="el"/>
        </w:rPr>
        <w:t>Υπουργός Οικονομικών</w:t>
      </w:r>
    </w:p>
    <w:p>
      <w:pPr>
        <w:spacing w:before="240" w:after="240"/>
        <w:rPr>
          <w:lang w:val="el" w:eastAsia="el"/>
        </w:rPr>
      </w:pPr>
      <w:r>
        <w:rPr>
          <w:b/>
          <w:bCs/>
          <w:lang w:val="el" w:eastAsia="el"/>
        </w:rPr>
        <w:t>ΘΕΟ∆ΩΡΟΣ ΣΚΥΛΑΚΑΚΗΣ</w:t>
      </w:r>
    </w:p>
    <w:p>
      <w:pPr>
        <w:spacing w:before="240" w:after="240"/>
        <w:rPr>
          <w:lang w:val="el" w:eastAsia="el"/>
        </w:rPr>
      </w:pPr>
      <w:r>
        <w:rPr>
          <w:b/>
          <w:bCs/>
          <w:lang w:val="el" w:eastAsia="el"/>
        </w:rPr>
        <w:t>Αγροτικής Ανάπτυξης και Τροφίμων</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