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Θέμα</w:t>
      </w:r>
      <w:r>
        <w:rPr>
          <w:b/>
          <w:bCs/>
          <w:lang w:val="el" w:eastAsia="el"/>
        </w:rPr>
        <w:t>: «Καθορισμός της Μέσης Σταθμισμένης Τιμής (Μ.Σ.Τ.) λιανικής πώλησης των προϊόντων λεπτοκομμένου καπνού που προορίζονται για την κατασκευή χειροποίητων (στριφτών) τσιγάρων και των άλλων καπνών που προορίζονται για κάπνισμα για τον προσδιορισμό της φορολογητέας αξίας επιβολής του Φ.Π.Α. για το έτος 2023»</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94 και 95 και ιδίως της περ. ε) του άρθρου 98Α του Εθνικού Τελωνειακού Κώδικα (ν.2960/2001 Α΄265),</w:t>
      </w:r>
    </w:p>
    <w:p>
      <w:pPr>
        <w:pStyle w:val="StructureList1"/>
        <w:spacing w:before="120" w:after="0"/>
        <w:rPr>
          <w:lang w:val="el" w:eastAsia="el"/>
        </w:rPr>
      </w:pPr>
      <w:r>
        <w:rPr>
          <w:lang w:val="el" w:eastAsia="el"/>
        </w:rPr>
        <w:t>β)</w:t>
      </w:r>
      <w:r>
        <w:rPr>
          <w:lang w:val="en" w:eastAsia="en"/>
        </w:rPr>
        <w:tab/>
      </w:r>
      <w:r>
        <w:rPr>
          <w:b/>
          <w:bCs/>
          <w:lang w:val="el" w:eastAsia="el"/>
        </w:rPr>
        <w:t>των άρθρων 2,3,4,5,10,11,16,17,18,19,20,21 του Κώδικα Φ.Π.Α. (ν.2859/2000 Α΄248),</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διατάξεις»(Α’ 94) και ειδικότερα της περ. δ) της παρ.2 του άρθρου 2 του άρθρου 7, της παρ.1 του άρθρου 14 και του άρθρου 41,</w:t>
      </w:r>
    </w:p>
    <w:p>
      <w:pPr>
        <w:pStyle w:val="StructureList1"/>
        <w:spacing w:before="120" w:after="0"/>
        <w:rPr>
          <w:lang w:val="el" w:eastAsia="el"/>
        </w:rPr>
      </w:pPr>
      <w:r>
        <w:rPr>
          <w:lang w:val="el" w:eastAsia="el"/>
        </w:rPr>
        <w:t>ε)</w:t>
      </w:r>
      <w:r>
        <w:rPr>
          <w:lang w:val="en" w:eastAsia="en"/>
        </w:rPr>
        <w:tab/>
      </w:r>
      <w:r>
        <w:rPr>
          <w:b/>
          <w:bCs/>
          <w:lang w:val="el" w:eastAsia="el"/>
        </w:rPr>
        <w:t>της υπ΄αριθμ. Δ ΟΡΓ.Α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(Α΄94), όπως ισχύουν και τις αποφάσεις υπ΄αριθμ. 39/3/30.11.2017 (Υ.Ο.Δ.Δ. 689) του Συμβουλίου Διοίκησης της Α.Α.Δ.Ε. και υπ΄αριθμ.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3. </w:t>
      </w:r>
      <w:r>
        <w:rPr>
          <w:b/>
          <w:bCs/>
          <w:lang w:val="el" w:eastAsia="el"/>
        </w:rPr>
        <w:t>Την ανάγκη καθορισμού της Μέσης Σταθμισμένης Τιμής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το έτος 2023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w:t>
      </w:r>
    </w:p>
    <w:p>
      <w:pPr>
        <w:pStyle w:val="PreambelText"/>
        <w:spacing w:before="240" w:after="240"/>
        <w:rPr>
          <w:lang w:val="el" w:eastAsia="el"/>
        </w:rPr>
      </w:pPr>
      <w:r>
        <w:rPr>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u w:val="single"/>
          <w:lang w:val="el" w:eastAsia="el"/>
        </w:rPr>
        <w:t>Πεδίο εφαρμογής</w:t>
      </w:r>
    </w:p>
    <w:p>
      <w:pPr>
        <w:spacing w:before="240" w:after="240"/>
        <w:rPr>
          <w:lang w:val="el" w:eastAsia="el"/>
        </w:rPr>
      </w:pPr>
      <w:r>
        <w:rPr>
          <w:b/>
          <w:bCs/>
          <w:lang w:val="el" w:eastAsia="el"/>
        </w:rPr>
        <w:t>Με την παρούσα απόφαση καθορίζεται η Μέση Σταθμισμένη Τιμή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όλο το έτος 2023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 σύμφωνα με τους ειδικότερους όρους της παρ. 2 του άρθρου 2.</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u w:val="single"/>
          <w:lang w:val="el" w:eastAsia="el"/>
        </w:rPr>
        <w:t>Ορισμός Μέσης Σταθμισμένης Τιμής</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ως Μέση Σταθμισμένη Τιμή (Μ.Σ.Τ.) λιανικής πώλησης για τον υπολογισμό του Φ.Π.Α. για το έτος 2023:</w:t>
      </w:r>
    </w:p>
    <w:p>
      <w:pPr>
        <w:pStyle w:val="StructureList1"/>
        <w:spacing w:before="120" w:after="0"/>
        <w:rPr>
          <w:lang w:val="el" w:eastAsia="el"/>
        </w:rPr>
      </w:pPr>
      <w:r>
        <w:rPr>
          <w:lang w:val="el" w:eastAsia="el"/>
        </w:rPr>
        <w:t>α)</w:t>
      </w:r>
      <w:r>
        <w:rPr>
          <w:lang w:val="en" w:eastAsia="en"/>
        </w:rPr>
        <w:tab/>
      </w:r>
      <w:r>
        <w:rPr>
          <w:b/>
          <w:bCs/>
          <w:lang w:val="el" w:eastAsia="el"/>
        </w:rPr>
        <w:t>ευρώ 253,936 (διακόσια πενήντα τρία και εννιακόσια τριάντα έξι) ανά χιλιόγραμμο καθαρού βάρους για τα προϊόντα λεπτοκομμένου καπνού για την κατασκευή χειροποίητων (στριφτών) τσιγάρων και</w:t>
      </w:r>
    </w:p>
    <w:p>
      <w:pPr>
        <w:pStyle w:val="StructureList1"/>
        <w:spacing w:before="120" w:after="0"/>
        <w:rPr>
          <w:lang w:val="el" w:eastAsia="el"/>
        </w:rPr>
      </w:pPr>
      <w:r>
        <w:rPr>
          <w:lang w:val="el" w:eastAsia="el"/>
        </w:rPr>
        <w:t>β)</w:t>
      </w:r>
      <w:r>
        <w:rPr>
          <w:lang w:val="en" w:eastAsia="en"/>
        </w:rPr>
        <w:tab/>
      </w:r>
      <w:r>
        <w:rPr>
          <w:b/>
          <w:bCs/>
          <w:lang w:val="el" w:eastAsia="el"/>
        </w:rPr>
        <w:t>ευρώ 326,528 (τριακόσια είκοσι έξι και πεντακόσια είκοσι οκτώ) ανά χιλιόγραμμο καθαρού βάρους για τα προϊόντα των άλλων καπνών που προορίζονται για κάπνισμα, όπως αυτά ορίζονται στα άρθρα 94 και 95 του ν.2960/2001.</w:t>
      </w:r>
    </w:p>
    <w:p>
      <w:pPr>
        <w:pStyle w:val="MainText"/>
        <w:spacing w:before="120" w:after="0"/>
        <w:rPr>
          <w:lang w:val="el" w:eastAsia="el"/>
        </w:rPr>
      </w:pPr>
      <w:r>
        <w:rPr>
          <w:b/>
          <w:bCs/>
          <w:lang w:val="el" w:eastAsia="el"/>
        </w:rPr>
        <w:t>2.</w:t>
      </w:r>
      <w:r>
        <w:rPr>
          <w:lang w:val="el" w:eastAsia="el"/>
        </w:rPr>
        <w:t xml:space="preserve"> </w:t>
      </w:r>
      <w:r>
        <w:rPr>
          <w:b/>
          <w:bCs/>
          <w:lang w:val="el" w:eastAsia="el"/>
        </w:rPr>
        <w:t>Η Μ.Σ.Τ. λιανικής πώλησης της παρ. 1 εφαρμόζεται στις περιπτώσεις παράδοσης, ενδοκοινοτικής απόκτησης ή εισαγωγής από τρίτες χώρες των προϊόντων λεπτοκομμένου καπνού και άλλων καπνών για κάπνισμα τα οποία:</w:t>
      </w:r>
    </w:p>
    <w:p>
      <w:pPr>
        <w:pStyle w:val="StructureList1"/>
        <w:spacing w:before="120" w:after="0"/>
        <w:rPr>
          <w:lang w:val="el" w:eastAsia="el"/>
        </w:rPr>
      </w:pPr>
      <w:r>
        <w:rPr>
          <w:lang w:val="el" w:eastAsia="el"/>
        </w:rPr>
        <w:t>α)</w:t>
      </w:r>
      <w:r>
        <w:rPr>
          <w:lang w:val="en" w:eastAsia="en"/>
        </w:rPr>
        <w:tab/>
      </w:r>
      <w:r>
        <w:rPr>
          <w:b/>
          <w:bCs/>
          <w:lang w:val="el" w:eastAsia="el"/>
        </w:rPr>
        <w:t>αποτελούν αντικείμενο λαθρεμπορίας ή β)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 σύμφωνα με την παρ. 1 του άρθρου 98 του ν.2960/2001 και η οποία δεν μπορεί να είναι μεγαλύτερη των πεντακοσίων (500) γραμμαρίων μικτού βάρους ή γ) 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του ιδίου νόμου και όχι πάνω από πεντακόσια (500) γραμμάρια μικτού βάρους και προορίζονται αποκλειστικά για ατομική χρήση ή δ) παράγονται κατόπιν ειδικής παραγγελίας και δεν προορίζονται για εμπορία ή ε) διατίθενται δωρεάν για σκοπούς έρευνας αγοράς.</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της ΓΔ.ΗΛΕ.Δ. – Τμήμα Ε΄ (για ενημέρωση ηλεκτρονικής βιβλιοθήκης ΑΑΔΕ και ανάρτηση στον ιστότοπο της ΑΑΔΕ</w:t>
      </w:r>
      <w:hyperlink r:id="rId4" w:history="1">
        <w:r>
          <w:rPr>
            <w:rStyle w:val="Hyperlink"/>
            <w:b/>
            <w:bCs/>
            <w:color w:val="0000EE"/>
            <w:u w:color="0000EE"/>
            <w:lang w:val="el" w:eastAsia="el"/>
          </w:rPr>
          <w:t>www.aade.gr</w:t>
        </w:r>
        <w:r>
          <w:rPr>
            <w:rStyle w:val="Hyperlink"/>
            <w:b/>
            <w:bCs/>
            <w:color w:val="0000EE"/>
            <w:u w:color="0000EE"/>
            <w:lang w:val="el" w:eastAsia="el"/>
          </w:rPr>
          <w:t>)</w:t>
        </w:r>
      </w:hyperlink>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Διεύθυνση Ανθρώπινου Δυναμικού και Οργάνωσης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 β) Διεύθυνση Οργάνωσης - Τμήμα Β΄</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Σύλλογος Εκτελωνιστών – Τελωνειακών Αντιπροσώπων Πειραιώς – Αθηνών (ΣΥ.Ε.Τ.Α.Π.Α.) 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Θεσσαλονίκης Κουντουριώτου 13 – Τ.Κ. 54626, Θεσσαλονίκη</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Σύνδεσμος Ελληνικών Καπνοβιομηχανιών (Σ.Ε.Κ.) Πανεπιστημίου 6 – Τ.Κ. 10671, Αθήνα</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Καπνοβιομηχανία «ΠΑΠΑΣΤΡΑΤΟΣ ΑΒΕΣ» Ήμερος Τόπος, Κορορέμι - Τ.Κ. 19300, Ασπρόπυργος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w:t>
      </w:r>
    </w:p>
    <w:p>
      <w:pPr>
        <w:spacing w:before="240" w:after="240"/>
        <w:rPr>
          <w:lang w:val="el" w:eastAsia="el"/>
        </w:rPr>
      </w:pPr>
      <w:r>
        <w:rPr>
          <w:b/>
          <w:bCs/>
          <w:lang w:val="el" w:eastAsia="el"/>
        </w:rPr>
        <w:t>Λάρισας – Βόλου – Τ.Κ. 41500</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Αριστείδης Κωνσταντινίδης</w:t>
      </w:r>
    </w:p>
    <w:p>
      <w:pPr>
        <w:spacing w:before="240" w:after="240"/>
        <w:rPr>
          <w:lang w:val="el" w:eastAsia="el"/>
        </w:rPr>
      </w:pPr>
      <w:r>
        <w:rPr>
          <w:b/>
          <w:bCs/>
          <w:lang w:val="el" w:eastAsia="el"/>
        </w:rPr>
        <w:t>Αλ. Παπαναστασίου 34</w:t>
      </w:r>
    </w:p>
    <w:p>
      <w:pPr>
        <w:spacing w:before="240" w:after="240"/>
        <w:rPr>
          <w:lang w:val="el" w:eastAsia="el"/>
        </w:rPr>
      </w:pPr>
      <w:r>
        <w:rPr>
          <w:b/>
          <w:bCs/>
          <w:lang w:val="el" w:eastAsia="el"/>
        </w:rPr>
        <w:t>Τ.Κ: 58300 - Κρύα Βρύση Πέλλας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Βιομηχανιών Στερεάς Ελλάδας</w:t>
      </w:r>
    </w:p>
    <w:p>
      <w:pPr>
        <w:spacing w:before="240" w:after="240"/>
        <w:rPr>
          <w:lang w:val="el" w:eastAsia="el"/>
        </w:rPr>
      </w:pPr>
      <w:r>
        <w:rPr>
          <w:b/>
          <w:bCs/>
          <w:lang w:val="el" w:eastAsia="el"/>
        </w:rPr>
        <w:t>62ο χιλιόμετρο Εθνικής Οδού Αθηνών Λαμίας Τ.Κ. 32011 Οινόφυτα</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Τελωνειακών Διαδικασιών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Στρατηγικής Τελωνειακών Ελέγχων και Παραβάσεων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Δασμολογικών Θεμάτων και Ειδικών Καθεστώτων και Απαλλαγών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 Δ/νση Ηλεκτρονικής Διακυβέρνησης της Α.Α.Δ.Ε.</w:t>
      </w:r>
    </w:p>
    <w:p>
      <w:pPr>
        <w:spacing w:before="240" w:after="240"/>
        <w:rPr>
          <w:lang w:val="el" w:eastAsia="el"/>
        </w:rPr>
      </w:pPr>
      <w:r>
        <w:rPr>
          <w:b/>
          <w:bCs/>
          <w:lang w:val="el" w:eastAsia="el"/>
        </w:rPr>
        <w:t>Διεύθυνση Επιχειρησιακών Διαδικασιών (ΔΙ.ΕΠΙ.ΔΙ.)</w:t>
      </w:r>
    </w:p>
    <w:p>
      <w:pPr>
        <w:spacing w:before="240" w:after="240"/>
        <w:rPr>
          <w:lang w:val="el" w:eastAsia="el"/>
        </w:rPr>
      </w:pPr>
      <w:r>
        <w:rPr>
          <w:b/>
          <w:bCs/>
          <w:lang w:val="el" w:eastAsia="el"/>
        </w:rPr>
        <w:t>Υποδιεύθυνση Β’ Απαιτήσεων &amp; Ελέγχου Εφαρμογών Τελωνείων</w:t>
      </w:r>
    </w:p>
    <w:p>
      <w:pPr>
        <w:pStyle w:val="Heading1"/>
        <w:spacing w:before="240" w:after="240"/>
        <w:rPr>
          <w:lang w:val="el" w:eastAsia="el"/>
        </w:rPr>
      </w:pPr>
      <w:r>
        <w:rPr>
          <w:b/>
          <w:bCs/>
          <w:lang w:val="el" w:eastAsia="el"/>
        </w:rPr>
        <w:t xml:space="preserve">Τμήμα Η΄ </w:t>
      </w:r>
    </w:p>
    <w:p>
      <w:pPr>
        <w:pStyle w:val="Heading1"/>
        <w:spacing w:before="240" w:after="240"/>
        <w:rPr>
          <w:lang w:val="el" w:eastAsia="el"/>
        </w:rPr>
      </w:pPr>
      <w:r>
        <w:rPr>
          <w:b/>
          <w:bCs/>
          <w:lang w:val="el" w:eastAsia="el"/>
        </w:rPr>
        <w:t>- Απαιτήσεων &amp; Ελέγχου Εφαρμογών Ε.Φ.Κ. &amp; Ταμειακής Διαχείρισης</w:t>
      </w:r>
    </w:p>
    <w:p>
      <w:pPr>
        <w:spacing w:before="240" w:after="240"/>
        <w:rPr>
          <w:lang w:val="el" w:eastAsia="el"/>
        </w:rPr>
      </w:pPr>
      <w:r>
        <w:rPr>
          <w:b/>
          <w:bCs/>
          <w:lang w:val="el" w:eastAsia="el"/>
        </w:rPr>
        <w:t xml:space="preserve">7. </w:t>
      </w:r>
      <w:r>
        <w:rPr>
          <w:b/>
          <w:bCs/>
          <w:lang w:val="el" w:eastAsia="el"/>
        </w:rPr>
        <w:t>Δ/νση Νομικής Υποστήριξης Α.Α.Δ.Ε.</w:t>
      </w:r>
    </w:p>
    <w:p>
      <w:pPr>
        <w:spacing w:before="240" w:after="240"/>
        <w:rPr>
          <w:lang w:val="el" w:eastAsia="el"/>
        </w:rPr>
      </w:pPr>
      <w:r>
        <w:rPr>
          <w:b/>
          <w:bCs/>
          <w:lang w:val="el" w:eastAsia="el"/>
        </w:rPr>
        <w:t xml:space="preserve">8.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9. </w:t>
      </w: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