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ΔΙΔΑΔ/Φ.64/946/οικ.858/19-01-2023</w:t>
      </w:r>
    </w:p>
    <w:p>
      <w:pPr>
        <w:pStyle w:val="Title"/>
        <w:spacing w:before="120" w:after="360"/>
        <w:rPr>
          <w:lang w:val="el" w:eastAsia="el"/>
        </w:rPr>
      </w:pPr>
      <w:r>
        <w:rPr>
          <w:lang w:val="el" w:eastAsia="el"/>
        </w:rPr>
        <w:t>Πρόληψη και αντιμετώπιση φαινομένων βίας και παρενόχλησης στην εργασία σε φορείς του Δημοσίου</w:t>
      </w:r>
    </w:p>
    <w:p>
      <w:pPr>
        <w:pStyle w:val="Title"/>
        <w:spacing w:before="120" w:after="360"/>
        <w:rPr>
          <w:lang w:val="el" w:eastAsia="el"/>
        </w:rPr>
      </w:pPr>
      <w:r>
        <w:rPr>
          <w:b/>
          <w:bCs/>
          <w:lang w:val="el" w:eastAsia="el"/>
        </w:rPr>
        <w:t>Αριθμ. ΔΙΔΑΔ/Φ.64/946/οικ.858/2023</w:t>
      </w:r>
    </w:p>
    <w:p>
      <w:pPr>
        <w:pStyle w:val="PreambelText"/>
        <w:spacing w:before="240" w:after="240"/>
        <w:rPr>
          <w:lang w:val="el" w:eastAsia="el"/>
        </w:rPr>
      </w:pPr>
      <w:r>
        <w:rPr>
          <w:lang w:val="el" w:eastAsia="el"/>
        </w:rPr>
        <w:t>(ΦΕΚ Β' 343/26-01-2023)</w:t>
      </w:r>
    </w:p>
    <w:p>
      <w:pPr>
        <w:pStyle w:val="PreambelText"/>
        <w:spacing w:before="240" w:after="240"/>
        <w:rPr>
          <w:lang w:val="el" w:eastAsia="el"/>
        </w:rPr>
      </w:pPr>
      <w:r>
        <w:rPr>
          <w:lang w:val="el" w:eastAsia="el"/>
        </w:rPr>
        <w:t>Ο ΥΠΟΥΡΓΟΣ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22 του ν. 4808/2021 «Για την Προστασία της Εργασίας Σύσταση Ανεξάρτητης Αρχής “Επιθεώρηση Εργασίας”Κύρωση της Σύμβασης 190 της Διεθνούς Οργάνωσης Εργασίας για την εξάλειψη της βίας και παρενόχλησης στον κόσμο της εργασίας Κύρωση της Σύμβασης 187 της Διεθνούς Οργάνωσης Εργασίας για το Πλαίσιο Προώθησης της Ασφάλειας και της Υγείας στην Εργασία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 (Α’ 101).</w:t>
      </w:r>
    </w:p>
    <w:p>
      <w:pPr>
        <w:pStyle w:val="PreambelText"/>
        <w:spacing w:before="240" w:after="240"/>
        <w:rPr>
          <w:lang w:val="el" w:eastAsia="el"/>
        </w:rPr>
      </w:pPr>
      <w:r>
        <w:rPr>
          <w:lang w:val="el" w:eastAsia="el"/>
        </w:rPr>
        <w:t>2. Το άρθρο 90 του Κώδικα της νομοθεσίας για την Κυβέρνηση και τα κυβερνητικά Όργανα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3.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4.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Το π.δ. 133/2017 «Οργανισμός του Υπουργείου Διοικητικής Ανασυγκρότησης» (Α’ 161).</w:t>
      </w:r>
    </w:p>
    <w:p>
      <w:pPr>
        <w:pStyle w:val="PreambelText"/>
        <w:spacing w:before="240" w:after="240"/>
        <w:rPr>
          <w:lang w:val="el" w:eastAsia="el"/>
        </w:rPr>
      </w:pPr>
      <w:r>
        <w:rPr>
          <w:lang w:val="el" w:eastAsia="el"/>
        </w:rPr>
        <w:t>7. Το γεγονός ότι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είναι να θέσει ένα συνεκτικό και σύγχρονο πλαίσιο για την πρόληψη και την αντιμετώπιση φαινομένων βίας και παρενόχλησης σε φορείς του δημοσίου τομέα, όπως αυτά ορίζονται στο άρθρο 2, συμβάλλοντας στη δημιουργία ενός περιβάλλοντος εργασίας το οποίο σέβεται, προωθεί και διασφαλίζει το δικαίωμα κάθε προσώπου σε έναν κόσμο εργασίας χωρίς βία και παρενόχληση.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της παρούσας:</w:t>
      </w:r>
    </w:p>
    <w:p>
      <w:pPr>
        <w:pStyle w:val="StructureList1"/>
        <w:spacing w:before="120" w:after="0"/>
        <w:rPr>
          <w:lang w:val="el" w:eastAsia="el"/>
        </w:rPr>
      </w:pPr>
      <w:r>
        <w:rPr>
          <w:lang w:val="el" w:eastAsia="el"/>
        </w:rPr>
        <w:t>α)</w:t>
      </w:r>
      <w:r>
        <w:rPr>
          <w:lang w:val="en" w:eastAsia="en"/>
        </w:rPr>
        <w:tab/>
      </w:r>
      <w:r>
        <w:rPr>
          <w:lang w:val="el" w:eastAsia="el"/>
        </w:rPr>
        <w:t>ως «βία και παρενόχληση» νοούνται οι μορφές συμπεριφοράς, πράξεις, πρακτικές ή απειλές αυτών, που αποσκοπούν, οδηγούν ή ενδέχεται να οδηγήσουν σε σωματική, ψυχολογική, σεξουαλική ή οικονομική βλάβη, είτε εκδηλώνονται μεμονωμένα είτε κατ’ επανάληψη,</w:t>
      </w:r>
    </w:p>
    <w:p>
      <w:pPr>
        <w:pStyle w:val="StructureList1"/>
        <w:spacing w:before="120" w:after="0"/>
        <w:rPr>
          <w:lang w:val="el" w:eastAsia="el"/>
        </w:rPr>
      </w:pPr>
      <w:r>
        <w:rPr>
          <w:lang w:val="el" w:eastAsia="el"/>
        </w:rPr>
        <w:t>β)</w:t>
      </w:r>
      <w:r>
        <w:rPr>
          <w:lang w:val="en" w:eastAsia="en"/>
        </w:rPr>
        <w:tab/>
      </w:r>
      <w:r>
        <w:rPr>
          <w:lang w:val="el" w:eastAsia="el"/>
        </w:rPr>
        <w:t>ως «παρενόχληση» νοούνται οι μορφές συμπεριφοράς, που έχουν ως σκοπό ή αποτέλεσμα την παραβίαση της αξιοπρέπειας του προσώπου και τη δημιουργία εκφοβιστικού, εχθρικού, εξευτελιστικού, ταπεινωτικού ή επιθετικού περιβάλλοντος, ανεξαρτήτως εάν συνιστούν μορφή διάκρισης, και περιλαμβάνουν και την παρενόχληση λόγω φύλου ή για άλλους λόγους διάκρισης,</w:t>
      </w:r>
    </w:p>
    <w:p>
      <w:pPr>
        <w:pStyle w:val="StructureList1"/>
        <w:spacing w:before="120" w:after="0"/>
        <w:rPr>
          <w:lang w:val="el" w:eastAsia="el"/>
        </w:rPr>
      </w:pPr>
      <w:r>
        <w:rPr>
          <w:lang w:val="el" w:eastAsia="el"/>
        </w:rPr>
        <w:t>γ)</w:t>
      </w:r>
      <w:r>
        <w:rPr>
          <w:lang w:val="en" w:eastAsia="en"/>
        </w:rPr>
        <w:tab/>
      </w:r>
      <w:r>
        <w:rPr>
          <w:lang w:val="el" w:eastAsia="el"/>
        </w:rPr>
        <w:t>ως «παρενόχληση λόγω φύλου» νοούνται οι μορφές συμπεριφοράς που συνδέονται με το φύλο ενός προσώπου, οι οποίες έχουν ως σκοπό ή αποτέλεσμα την παραβίαση της αξιοπρέπειας του προσώπου αυτού και τη δημιουργία εκφοβιστικού, εχθρικού, εξευτελιστικού, ταπεινωτικού ή επιθετικού περιβάλλοντος κατά το άρθρο 2 του ν. 3896/2010 (Α’ 107) και την παρ. 2 του άρθρου 2 του ν. 4443/2016 (Α’ 232). Οι μορφές συμπεριφοράς αυτές περιλαμβάνουν και τη σεξουαλική παρενόχληση του ν. 3896/2010, καθώς και μορφές συμπεριφοράς που συνδέονται με τον σεξουαλικό προσανατολισμό, την έκφραση, την ταυτότητα ή τα χαρακτηριστικά φύλου του προσώπου.</w:t>
      </w:r>
    </w:p>
    <w:p>
      <w:pPr>
        <w:pStyle w:val="MainText"/>
        <w:spacing w:before="120" w:after="0"/>
        <w:rPr>
          <w:lang w:val="el" w:eastAsia="el"/>
        </w:rPr>
      </w:pPr>
      <w:r>
        <w:rPr>
          <w:b/>
          <w:bCs/>
          <w:lang w:val="el" w:eastAsia="el"/>
        </w:rPr>
        <w:t>2.</w:t>
      </w:r>
      <w:r>
        <w:rPr>
          <w:lang w:val="el" w:eastAsia="el"/>
        </w:rPr>
        <w:t xml:space="preserve"> Για τους σκοπούς εφαρμογής της παρούσας οι μορφές συμπεριφοράς βίας και παρενόχλησης σε βάρος των προσώπων του άρθρου 3 μπορούν να λαμβάνουν χώρα ιδίως:</w:t>
      </w:r>
    </w:p>
    <w:p>
      <w:pPr>
        <w:spacing w:before="240" w:after="240"/>
        <w:rPr>
          <w:lang w:val="el" w:eastAsia="el"/>
        </w:rPr>
      </w:pPr>
      <w:r>
        <w:rPr>
          <w:lang w:val="el" w:eastAsia="el"/>
        </w:rPr>
        <w:t>(α) στον χώρο εργασίας, συμπεριλαμβανομένων δημόσιων και ιδιωτικών χώρων και χώρων όπου ο εργαζόμενος παρέχει εργασία, λαμβάνει αμοιβή, κάνει διάλειμμα ιδίως, για ανάπαυση ή για φαγητό, σε χώρους ατομικής υγιεινής και φροντίδας, αποδυτηρίων ή καταλυμάτων που παρέχει ο εργοδότης,</w:t>
      </w:r>
    </w:p>
    <w:p>
      <w:pPr>
        <w:spacing w:before="240" w:after="240"/>
        <w:rPr>
          <w:lang w:val="el" w:eastAsia="el"/>
        </w:rPr>
      </w:pPr>
      <w:r>
        <w:rPr>
          <w:lang w:val="el" w:eastAsia="el"/>
        </w:rPr>
        <w:t>(β) στις μετακινήσεις από και προς την εργασία, τις λοιπές μετακινήσεις, τα ταξίδια, την εκπαίδευση, καθώς και τις εκδηλώσεις και τις κοινωνικές δραστηριότητες που σχετίζονται με την εργασία και</w:t>
      </w:r>
    </w:p>
    <w:p>
      <w:pPr>
        <w:spacing w:before="240" w:after="240"/>
        <w:rPr>
          <w:lang w:val="el" w:eastAsia="el"/>
        </w:rPr>
      </w:pPr>
      <w:r>
        <w:rPr>
          <w:lang w:val="el" w:eastAsia="el"/>
        </w:rPr>
        <w:t>(γ) κατά τις επικοινωνίες που σχετίζονται με την εργασία, συμπεριλαμβανομένων εκείνων που πραγματοποιούνται μέσω τεχνολογιών πληροφορικής και επικοινωνίας.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της παρούσας εφαρμόζονται σε εργαζόμενους και απασχολούμενους σε φορείς του δημόσιου τομέα, όπως ορίζεται στο άρθρο 14 του ν. 4270/2014 (Α’ 143), ανεξάρτητα από το καθεστώς απασχόλησής τους και τη σχέση εργασίας τους, συμπεριλαμβανομένων των απασχολούμενων με σύμβαση έργου, ανεξαρτήτων υπηρεσιών, έμμισθης εντολής, των απασχολούμενων μέσω τρίτων παρόχων υπηρεσιών, καθώς και άτομα που παρακολουθούν κατάρτιση, συμπεριλαμβανομένων των ασκούμενων και των μαθητευόμενων, εθελοντές, εργαζόμενοι των οποίων η σχέση εργασίας έχει λήξει, καθώς και άτομα υπό διορισμό ή πρόσληψη.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Μέτρα ενημέρωσης και πρόληψης</w:t>
      </w:r>
    </w:p>
    <w:p>
      <w:pPr>
        <w:spacing w:before="240" w:after="240"/>
        <w:rPr>
          <w:lang w:val="el" w:eastAsia="el"/>
        </w:rPr>
      </w:pPr>
      <w:r>
        <w:rPr>
          <w:lang w:val="el" w:eastAsia="el"/>
        </w:rPr>
        <w:t>Οι αρμόδιες υπηρεσίες προσωπικού των φορέων του δημόσιου τομέα που υπάγονται στο πεδίο εφαρμογής της παρούσας οφείλουν:</w:t>
      </w:r>
    </w:p>
    <w:p>
      <w:pPr>
        <w:pStyle w:val="StructureList1"/>
        <w:spacing w:before="120" w:after="0"/>
        <w:rPr>
          <w:lang w:val="el" w:eastAsia="el"/>
        </w:rPr>
      </w:pPr>
      <w:r>
        <w:rPr>
          <w:lang w:val="el" w:eastAsia="el"/>
        </w:rPr>
        <w:t>α)</w:t>
      </w:r>
      <w:r>
        <w:rPr>
          <w:lang w:val="en" w:eastAsia="en"/>
        </w:rPr>
        <w:tab/>
      </w:r>
      <w:r>
        <w:rPr>
          <w:lang w:val="el" w:eastAsia="el"/>
        </w:rPr>
        <w:t>να ενημερώνουν τους υπαλλήλους με κάθε πρόσφορο τρόπο για τις κείμενες διατάξεις που αφορούν στην πρόληψη και αντιμετώπιση φαινομένων βίας και παρενόχλησης στην εργασία και τις σχετικές οδηγίες που περιλαμβάνονται σε γενικούς ή ειδικούς κώδικες και οδηγούς δεοντολογίας και επαγγελματικής συμπεριφοράς.</w:t>
      </w:r>
    </w:p>
    <w:p>
      <w:pPr>
        <w:pStyle w:val="StructureList1"/>
        <w:spacing w:before="120" w:after="0"/>
        <w:rPr>
          <w:lang w:val="el" w:eastAsia="el"/>
        </w:rPr>
      </w:pPr>
      <w:r>
        <w:rPr>
          <w:lang w:val="el" w:eastAsia="el"/>
        </w:rPr>
        <w:t>β)</w:t>
      </w:r>
      <w:r>
        <w:rPr>
          <w:lang w:val="en" w:eastAsia="en"/>
        </w:rPr>
        <w:tab/>
      </w:r>
      <w:r>
        <w:rPr>
          <w:lang w:val="el" w:eastAsia="el"/>
        </w:rPr>
        <w:t>να αναρτούν στον χώρο εργασίας ή στον εσωτερικό δικτυακό τόπο ενημέρωση για τις διαδικασίες που υφίστανται στον φορέα για την καταγγελία και την αντιμετώπιση τέτοιων μορφών συμπεριφοράς, καθώς και τα στοιχεία επικοινωνίας για τις αρμόδιες, σύμφωνα με τις κείμενες διατάξεις, αρχές.</w:t>
      </w:r>
    </w:p>
    <w:p>
      <w:pPr>
        <w:pStyle w:val="StructureList1"/>
        <w:spacing w:before="120" w:after="0"/>
        <w:rPr>
          <w:lang w:val="el" w:eastAsia="el"/>
        </w:rPr>
      </w:pPr>
      <w:r>
        <w:rPr>
          <w:lang w:val="el" w:eastAsia="el"/>
        </w:rPr>
        <w:t>γ)</w:t>
      </w:r>
      <w:r>
        <w:rPr>
          <w:lang w:val="en" w:eastAsia="en"/>
        </w:rPr>
        <w:tab/>
      </w:r>
      <w:r>
        <w:rPr>
          <w:lang w:val="el" w:eastAsia="el"/>
        </w:rPr>
        <w:t>να προβαίνουν στις απαραίτητες ενέργειες για την εκπαίδευση των υπαλλήλων όσον αφορά θέματα διαχείρισης περιστατικών βίας και παρενόχλησης στην εργασία και εξάλειψης ή περιορισμού των κινδύνων εμφάνισης τέτοιων φαινομένων.</w:t>
      </w:r>
    </w:p>
    <w:p>
      <w:pPr>
        <w:pStyle w:val="StructureList1"/>
        <w:spacing w:before="120" w:after="0"/>
        <w:rPr>
          <w:lang w:val="el" w:eastAsia="el"/>
        </w:rPr>
      </w:pPr>
      <w:r>
        <w:rPr>
          <w:lang w:val="el" w:eastAsia="el"/>
        </w:rPr>
        <w:t>δ)</w:t>
      </w:r>
      <w:r>
        <w:rPr>
          <w:lang w:val="en" w:eastAsia="en"/>
        </w:rPr>
        <w:tab/>
      </w:r>
      <w:r>
        <w:rPr>
          <w:lang w:val="el" w:eastAsia="el"/>
        </w:rPr>
        <w:t>να προβαίνουν σε ενέργειες ενημέρωσης και ευαισθητοποίησης των υπαλλήλων και να ενθαρρύνουν τη συμμετοχή των υπαλλήλων σε αυτές.</w:t>
      </w:r>
    </w:p>
    <w:p>
      <w:pPr>
        <w:pStyle w:val="StructureList1"/>
        <w:spacing w:before="120" w:after="0"/>
        <w:rPr>
          <w:lang w:val="el" w:eastAsia="el"/>
        </w:rPr>
      </w:pPr>
      <w:r>
        <w:rPr>
          <w:lang w:val="el" w:eastAsia="el"/>
        </w:rPr>
        <w:t>ε)</w:t>
      </w:r>
      <w:r>
        <w:rPr>
          <w:lang w:val="en" w:eastAsia="en"/>
        </w:rPr>
        <w:tab/>
      </w:r>
      <w:r>
        <w:rPr>
          <w:lang w:val="el" w:eastAsia="el"/>
        </w:rPr>
        <w:t>να διασφαλίζουν τη δημιουργία περιβάλλοντος ασφάλειας και εχεμύθειας για τους υπαλλήλους που επιθυμούν να προβούν σε αναφορά φαινομένων βίας και παρενόχλησης στην εργασία με σκοπό την έγκαιρη αντιμετώπισή τους κατά τις κείμενες διαδικασίες.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και όργανα υποβολής αναφορών για περιστατικά βίας και παρενόχλησης στην εργασία</w:t>
      </w:r>
    </w:p>
    <w:p>
      <w:pPr>
        <w:pStyle w:val="MainText"/>
        <w:spacing w:before="120" w:after="0"/>
        <w:rPr>
          <w:lang w:val="el" w:eastAsia="el"/>
        </w:rPr>
      </w:pPr>
      <w:r>
        <w:rPr>
          <w:b/>
          <w:bCs/>
          <w:lang w:val="el" w:eastAsia="el"/>
        </w:rPr>
        <w:t>1.</w:t>
      </w:r>
      <w:r>
        <w:rPr>
          <w:lang w:val="el" w:eastAsia="el"/>
        </w:rPr>
        <w:t xml:space="preserve"> Κάθε πρόσωπο του άρθρου 3 που θίγεται από περιστατικό βίας και παρενόχλησης σε βάρος του κατά το άρθρο 4 του ν. 4808/2021, ακόμη και αν έχει λήξει η σχέση, στο πλαίσιο της οποίας φέρεται ότι εκδηλώθηκε σε βάρος του το περιστατικό ή η συμπεριφορά, πέραν της δικαστικής προστασίας, έχει δικαίωμα υποβολής καταγγελίας:</w:t>
      </w:r>
    </w:p>
    <w:p>
      <w:pPr>
        <w:pStyle w:val="StructureList1"/>
        <w:spacing w:before="120" w:after="0"/>
        <w:rPr>
          <w:lang w:val="el" w:eastAsia="el"/>
        </w:rPr>
      </w:pPr>
      <w:r>
        <w:rPr>
          <w:lang w:val="el" w:eastAsia="el"/>
        </w:rPr>
        <w:t>α)</w:t>
      </w:r>
      <w:r>
        <w:rPr>
          <w:lang w:val="en" w:eastAsia="en"/>
        </w:rPr>
        <w:tab/>
      </w:r>
      <w:r>
        <w:rPr>
          <w:lang w:val="el" w:eastAsia="el"/>
        </w:rPr>
        <w:t>ενώπιον του Συνηγόρου του Πολίτη σύμφωνα με τον ν. 3896/2010 (Α’ 207) και τον ν. 4443/2016 (Α’ 232),</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εντός του φορέα, όπου παρέχεται η εργασία ή σε εποπτεύοντα φορέα κατά τα οριζόμενα στην παρ. 2.</w:t>
      </w:r>
    </w:p>
    <w:p>
      <w:pPr>
        <w:pStyle w:val="StructureList1"/>
        <w:spacing w:before="120" w:after="0"/>
        <w:rPr>
          <w:lang w:val="el" w:eastAsia="el"/>
        </w:rPr>
      </w:pPr>
      <w:r>
        <w:rPr>
          <w:lang w:val="el" w:eastAsia="el"/>
        </w:rPr>
        <w:t>γ)</w:t>
      </w:r>
      <w:r>
        <w:rPr>
          <w:lang w:val="en" w:eastAsia="en"/>
        </w:rPr>
        <w:tab/>
      </w:r>
      <w:r>
        <w:rPr>
          <w:lang w:val="el" w:eastAsia="el"/>
        </w:rPr>
        <w:t>ενώπιον της Εθνικής Αρχής Διαφάνειας, εφόσον έχει υποβληθεί καταγγελία στους αρμοδίους φορείς και πρόσωπα της περ. α και β, και δεν έχουν επιληφθεί αρμοδίως μετά το πέρας τριών μηνών από την υποβολή της καταγγελίας, προκειμένου να ασκήσει τις αρμοδιότητες των παρ. 3 και 4 του παρόντος.</w:t>
      </w:r>
    </w:p>
    <w:p>
      <w:pPr>
        <w:pStyle w:val="MainText"/>
        <w:spacing w:before="120" w:after="0"/>
        <w:rPr>
          <w:lang w:val="el" w:eastAsia="el"/>
        </w:rPr>
      </w:pPr>
      <w:r>
        <w:rPr>
          <w:b/>
          <w:bCs/>
          <w:lang w:val="el" w:eastAsia="el"/>
        </w:rPr>
        <w:t>2.</w:t>
      </w:r>
      <w:r>
        <w:rPr>
          <w:lang w:val="el" w:eastAsia="el"/>
        </w:rPr>
        <w:t xml:space="preserve"> Οι καταγγελίες για περιστατικά βίας και παρενόχλησης κατά το άρθρο 4 του ν. 4808/2021 υποβάλλονται στον Σύμβουλο Ακεραιότητας του άρθρου 23 του ν. 4795/2021 που είναι αρμόδιος για τον φορέα, στον οποίον υπηρετεί ο υπάλληλος κατά τον χρόνο εκδήλωσης του περιστατικού βίας και παρενόχλησης, εφόσον υπάρχει. Άλλως, η καταγγελία υποβάλλεται στον ανώτερο στη διοικητική ιεραρχία προϊστάμενο του φορέα με αρμοδιότητα για θέματα προσωπικού του φορέα ή εφόσον πρόκειται για νομικό πρόσωπο, στον ανώτερο στη διοικητική ιεραρχία προϊστάμενο του εποπτεύοντος φορέα. Ειδικά για τους ΟΤΑ α’ και β’ βαθμού οι καταγγελίες δύνανται να υποβάλλονται στον Γραμματέα της οικείας Αποκεντρωμένης Διοίκησης.</w:t>
      </w:r>
    </w:p>
    <w:p>
      <w:pPr>
        <w:pStyle w:val="MainText"/>
        <w:spacing w:before="120" w:after="0"/>
        <w:rPr>
          <w:lang w:val="el" w:eastAsia="el"/>
        </w:rPr>
      </w:pPr>
      <w:r>
        <w:rPr>
          <w:b/>
          <w:bCs/>
          <w:lang w:val="el" w:eastAsia="el"/>
        </w:rPr>
        <w:t>3.</w:t>
      </w:r>
      <w:r>
        <w:rPr>
          <w:lang w:val="el" w:eastAsia="el"/>
        </w:rPr>
        <w:t xml:space="preserve"> Οι καταγγελίες υποβάλλονται με εμπιστευτικό πρωτόκολλο και τα αρμόδια όργανα αυτά υποχρεούνται αμέσως και το αργότερο εντός πέντε (5) εργασίμων ημερών από την παραλαβή της καταγγελίας να εξετάσουν τη βασιμότητα των ισχυρισμών της καταγγελίας και να καλέσουν ενώπιον τους για παροχή εξηγήσεων τον καταγγελλόμενο καθώς και κάθε άλλο πρόσωπο, το οποίο βάσει της καταγγελίας ή των εξηγήσεων του καταγγελλόμενου έλαβε γνώση ή ήταν μάρτυρας για το περιστατικό βίας και παρενόχλησης. Εφόσον από το πόρισμα της εξέτασης αυτής προκύψει πειθαρχική ευθύνη του καταγγελλόμενου, το πόρισμα αυτό διαβιβάζεται άμεσα και το αργότερο εντός αποκλειστικής προθεσμίας τριών (3) ημερών στον αρμόδιο πειθαρχικώς προϊστάμενο του καταγγελλόμενου προσώπου για περαιτέρω ενέργειες στο πλαίσιο των πειθαρχικών αρμοδιοτήτων του. Ειδικά ο Σύμβουλος Ακεραιότητας υποχρεούται να διαβιβάσει άμεσα και το αργότερο εντός αποκλειστικής προθεσμίας δύο (2) ημερών από την παραλαβή, την καταγγελία στον αρμόδιο πειθαρχικώς προϊστάμενο του καταγγελλόμενου προσώπου παρακολουθώντας παράλληλα την εξέλιξη εξέτασης της καταγγελίας προκειμένου να ενημερώνει το θιγόμενο πρόσωπο που υπέβαλε την καταγγελία.</w:t>
      </w:r>
    </w:p>
    <w:p>
      <w:pPr>
        <w:pStyle w:val="MainText"/>
        <w:spacing w:before="120" w:after="0"/>
        <w:rPr>
          <w:lang w:val="el" w:eastAsia="el"/>
        </w:rPr>
      </w:pPr>
      <w:r>
        <w:rPr>
          <w:b/>
          <w:bCs/>
          <w:lang w:val="el" w:eastAsia="el"/>
        </w:rPr>
        <w:t>4.</w:t>
      </w:r>
      <w:r>
        <w:rPr>
          <w:lang w:val="el" w:eastAsia="el"/>
        </w:rPr>
        <w:t xml:space="preserve"> Η Εθνική Αρχή Διαφάνειας πέραν της ενεργειών της παρ. 3, διερευνά και τυχόν πειθαρχικές ευθύνες του οργάνου ενώπιον του οποίου υποβλήθηκε η καταγγελία και υπαιτίως καθυστέρησε την εξέταση της καταγγελίας, με εξαίρεση τις περιπτώσεις υποβολής της καταγγελίας ενώπιον του Συνηγόρου του Πολίτη.</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Τα αρμόδια όργανα, ενώπιον των οποίων υποβάλλεται η καταγγελία, οφείλουν κατά τη διαχείριση των καταγγελιών να ασκούν τα καθήκοντά τους με ακεραιότητα, αντικειμενικότητα και αμεροληψία, να τηρούν την υποχρέωση εχεμύθειας και εμπιστευτικότητας και να απέχουν από τη διαχείριση συγκεκριμένων υποθέσεων δηλώνοντας κώλυμα, εφόσον συντρέχει περίπτωση σύγκρουσης συμφερόντων.</w:t>
      </w:r>
    </w:p>
    <w:p>
      <w:pPr>
        <w:pStyle w:val="MainText"/>
        <w:spacing w:before="120" w:after="0"/>
        <w:rPr>
          <w:lang w:val="el" w:eastAsia="el"/>
        </w:rPr>
      </w:pPr>
      <w:r>
        <w:rPr>
          <w:b/>
          <w:bCs/>
          <w:lang w:val="el" w:eastAsia="el"/>
        </w:rPr>
        <w:t>6.</w:t>
      </w:r>
      <w:r>
        <w:rPr>
          <w:lang w:val="el" w:eastAsia="el"/>
        </w:rPr>
        <w:t xml:space="preserve"> Εφόσον κριθεί ότι στο πρόσωπο των οργάνων που ορίζονται ως αρμόδια να παραλαμβάνουν καταγγελίες συντρέχει κώλυμα συμφέροντος για τη διαχείριση συγκεκριμένης καταγγελίας, η καταγγελία θα διαβιβάζεται αμελλητί στον Συνήγορο του Πολίτη.</w:t>
      </w:r>
    </w:p>
    <w:p>
      <w:pPr>
        <w:pStyle w:val="MainText"/>
        <w:spacing w:before="120" w:after="0"/>
        <w:rPr>
          <w:lang w:val="el" w:eastAsia="el"/>
        </w:rPr>
      </w:pPr>
      <w:r>
        <w:rPr>
          <w:b/>
          <w:bCs/>
          <w:lang w:val="el" w:eastAsia="el"/>
        </w:rPr>
        <w:t>7.</w:t>
      </w:r>
      <w:r>
        <w:rPr>
          <w:lang w:val="el" w:eastAsia="el"/>
        </w:rPr>
        <w:t xml:space="preserve"> Το θιγόμενο πρόσωπο που υπέβαλε την καταγγελία ενημερώνεται αμελλητί από τα όργανα που επιλαμβάνονται για την εξέλιξη εξέτασης της καταγγελίας του ή την τυχόν διαβίβασή της σε άλλο αρμόδιο όργανο ή φορέα κατά τις διατάξεις των προηγούμενων παραγράφων.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Μέτρα προστασίας</w:t>
      </w:r>
    </w:p>
    <w:p>
      <w:pPr>
        <w:pStyle w:val="MainText"/>
        <w:spacing w:before="120" w:after="0"/>
        <w:rPr>
          <w:lang w:val="el" w:eastAsia="el"/>
        </w:rPr>
      </w:pPr>
      <w:r>
        <w:rPr>
          <w:b/>
          <w:bCs/>
          <w:lang w:val="el" w:eastAsia="el"/>
        </w:rPr>
        <w:t>1.</w:t>
      </w:r>
      <w:r>
        <w:rPr>
          <w:lang w:val="el" w:eastAsia="el"/>
        </w:rPr>
        <w:t xml:space="preserve"> Όταν πρόσωπο του άρθρου 3 παραβιάζει την απαγόρευση βίας και παρενόχλησης του άρθρου 4 του ν. 4808/2021, ο φορέας, εφόσον λάβει γνώση της παραβίασης υποχρεούται να λάβει τα απαραίτητα πρόσφορα και ανάλογα μέτρα κατά περίπτωση σε βάρος του καταγγελλόμενου, προκειμένου να εμποδιστεί και να μην επαναληφθεί παρόμοιο περιστατικό ή συμπεριφορά, ακόμα και κατά το διάστημα διερεύνησης της σχετικής καταγγελίας.</w:t>
      </w:r>
    </w:p>
    <w:p>
      <w:pPr>
        <w:pStyle w:val="MainText"/>
        <w:spacing w:before="120" w:after="0"/>
        <w:rPr>
          <w:lang w:val="el" w:eastAsia="el"/>
        </w:rPr>
      </w:pPr>
      <w:r>
        <w:rPr>
          <w:b/>
          <w:bCs/>
          <w:lang w:val="el" w:eastAsia="el"/>
        </w:rPr>
        <w:t>2.</w:t>
      </w:r>
      <w:r>
        <w:rPr>
          <w:lang w:val="el" w:eastAsia="el"/>
        </w:rPr>
        <w:t xml:space="preserve"> Τα μέτρα αυτά μπορεί να περιλαμβάνουν τη σύσταση συμμόρφωσης, τη μετακίνηση σε άλλη οργανική μονάδα, την αλλαγή του χώρου εργασίας ή την αλλαγή ωραρίου, την απομάκρυνσή του από τον χώρο εργασίας με υποχρεωτική χορήγηση κανονικής άδειας ή υπηρεσιακής άδειας αναπλήρωσης, εφόσον διαθέτει υπόλοιπο, τη διερεύνηση τυχόν πειθαρχικής ευθύνης του καταγγελλόμενου, την πειθαρχική του δίωξη και την επιβολή πειθαρχικής ποινής σύμφωνα με τις κείμενες διατάξεις ή την καταγγελία της σύμβασης εργασίας ή απασχόλησης, σε όσες περιπτώσεις είναι δυνατή με βάση τη σχέση εργασίας του καταγγελλόμενου, με την επιφύλαξη της απαγόρευσης της κατάχρησης δικαιώματος του άρθρου 281 ΑΚ. Το μέτρο της μετακίνησης σε άλλη οργανική μονάδα, της αλλαγής χώρου εργασίας ή ωραρίου μπορεί να εφαρμοστεί και για το θιγόμενο πρόσωπο εφόσον υποβληθεί σχετικό αίτημα και στην περίπτωση αυτή η Υπηρεσία υποχρεούται να εξετάσει το αίτημα αυτό κατά προτεραιότητα.</w:t>
      </w:r>
    </w:p>
    <w:p>
      <w:pPr>
        <w:pStyle w:val="MainText"/>
        <w:spacing w:before="120" w:after="0"/>
        <w:rPr>
          <w:lang w:val="el" w:eastAsia="el"/>
        </w:rPr>
      </w:pPr>
      <w:r>
        <w:rPr>
          <w:b/>
          <w:bCs/>
          <w:lang w:val="el" w:eastAsia="el"/>
        </w:rPr>
        <w:t>3.</w:t>
      </w:r>
      <w:r>
        <w:rPr>
          <w:lang w:val="el" w:eastAsia="el"/>
        </w:rPr>
        <w:t xml:space="preserve"> Κάθε πρόσωπο του άρθρου 3 που υφίσταται περιστατικό βίας και παρενόχλησης σε βάρος του, έχει δικαίωμα να απουσιάσει δικαιολογημένα από τον εργασιακό χώρο για εύλογο χρόνο που δεν δύναται να υπερβαίνει τις τρεις (3) εργάσιμες ημέρες, χωρίς στέρηση μισθού ή άλλη δυσμενή συνέπεια, εφόσον κατά την εύλογη πεποίθησή του υφίσταται επικείμενος σοβαρός κίνδυνος για τη ζωή, την υγεία ή την ασφάλειά του, ιδίως, όταν ο δράστης τέτοιας συμπεριφοράς είναι ο άμεσος προϊστάμενος του προσώπου ή όταν παρά την υποβολή καταγγελίας δεν έχουν ληφθεί τα απαραίτητα και πρόσφορα μέτρα κατά την παρ. 2, ώστε να αποκατασταθεί η ομαλή λειτουργία της Υπηρεσίας, ή όταν τα μέτρα αυτά δεν είναι ικανά για να σταματήσουν τη συμπεριφορά βίας και παρενόχλησης.</w:t>
      </w:r>
    </w:p>
    <w:p>
      <w:pPr>
        <w:pStyle w:val="MainText"/>
        <w:spacing w:before="120" w:after="0"/>
        <w:rPr>
          <w:lang w:val="el" w:eastAsia="el"/>
        </w:rPr>
      </w:pPr>
      <w:r>
        <w:rPr>
          <w:b/>
          <w:bCs/>
          <w:lang w:val="el" w:eastAsia="el"/>
        </w:rPr>
        <w:t>4.</w:t>
      </w:r>
      <w:r>
        <w:rPr>
          <w:lang w:val="el" w:eastAsia="el"/>
        </w:rPr>
        <w:t xml:space="preserve"> Στην περίπτωση της παρ. 3, ο αποχωρών υποχρεούται να ενημερώσει προηγουμένως εγγράφως τα όργανα του άρθρου 5, καταγγέλλοντας το περιστατικό βίας και παρενόχλησης και τα περιστατικά που αιτιολογούν την πεποίθησή του ότι επίκειται σοβαρός κίνδυνος για τη ζωή, την υγεία ή την ασφάλειά του. Εφόσον δεν υφίσταται ή έχει παύσει να υφίσταται ο κίνδυνος ή η Υπηρεσία έλαβε τα απαραίτητα μέτρα της παρ. 2 και το πρόσωπο αρνείται να επιστρέψει στον εργασιακό χώρο, η απουσία του παύει να θεωρείται δικαιολογημένη.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Απαγόρευση αντιποίνων</w:t>
      </w:r>
    </w:p>
    <w:p>
      <w:pPr>
        <w:spacing w:before="240" w:after="240"/>
        <w:rPr>
          <w:lang w:val="el" w:eastAsia="el"/>
        </w:rPr>
      </w:pPr>
      <w:r>
        <w:rPr>
          <w:lang w:val="el" w:eastAsia="el"/>
        </w:rPr>
        <w:t>Απαγορεύεται και είναι άκυρη η καταγγελία ή η με οποιονδήποτε τρόπο λύση της έννομης σχέσης στην οποία στηρίζεται η απασχόληση, καθώς και κάθε άλλη δυσμενής μεταχείριση προσώπου του άρθρου 3, εφόσον συνιστά εκδικητική συμπεριφορά λόγω μη ενδοτικότητας του εργαζομένου σε σεξουαλική ή άλλη παρενόχληση σε βάρος του, σύμφωνα με τους ορισμούς του άρθρου 2 ή αντίμετρο λόγω διαμαρτυρίας, καταγγελίας, μαρτυρίας ή οποιασδήποτε άλλης ενέργειας εργαζομένου, ενώπιον δικαστηρίου ή άλλης αρχής, η οποία είναι σχετική με την εφαρμογή της παρούσας.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-Τελικές διατάξεις</w:t>
      </w:r>
    </w:p>
    <w:p>
      <w:pPr>
        <w:pStyle w:val="MainText"/>
        <w:spacing w:before="120" w:after="0"/>
        <w:rPr>
          <w:lang w:val="el" w:eastAsia="el"/>
        </w:rPr>
      </w:pPr>
      <w:r>
        <w:rPr>
          <w:b/>
          <w:bCs/>
          <w:lang w:val="el" w:eastAsia="el"/>
        </w:rPr>
        <w:t>1.</w:t>
      </w:r>
      <w:r>
        <w:rPr>
          <w:lang w:val="el" w:eastAsia="el"/>
        </w:rPr>
        <w:t xml:space="preserve"> Καταγγελίες για παραβίαση των απαγορεύσεων του άρθρου 4 του ν. 4808/2021 που έχουν ήδη υποβληθεί κατά τον χρόνο έναρξης ισχύος της παρούσας στα αρμόδια κατά τον χρόνο υποβολής της καταγγελίας όργανα, εξετάζονται από τα όργανα, στα οποία έχουν ήδη υποβληθεί ή διαβιβάζονται αμελλητί στα όργανα που ορίζονται ως αρμόδια με την παρούσα. Οι εκκρεμείς καταγγελίες εξετάζονται εντός των προθεσμιών που προβλέπονται στην παρούσα.</w:t>
      </w:r>
    </w:p>
    <w:p>
      <w:pPr>
        <w:pStyle w:val="MainText"/>
        <w:spacing w:before="120" w:after="0"/>
        <w:rPr>
          <w:lang w:val="el" w:eastAsia="el"/>
        </w:rPr>
      </w:pPr>
      <w:r>
        <w:rPr>
          <w:b/>
          <w:bCs/>
          <w:lang w:val="el" w:eastAsia="el"/>
        </w:rPr>
        <w:t>2.</w:t>
      </w:r>
      <w:r>
        <w:rPr>
          <w:lang w:val="el" w:eastAsia="el"/>
        </w:rPr>
        <w:t xml:space="preserve"> Οι προθεσμίες της παρούσας είναι αποκλειστικές και η τυχόν υπέρβασή τους συνιστά πειθαρχικό παράπτωμα κατά τις διατάξεις του ν. 3528/2007.</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Ιανουαρίου 2023</w:t>
      </w:r>
    </w:p>
    <w:p>
      <w:pPr>
        <w:spacing w:before="240" w:after="240"/>
        <w:rPr>
          <w:lang w:val="el" w:eastAsia="el"/>
        </w:rPr>
      </w:pPr>
      <w:r>
        <w:rPr>
          <w:lang w:val="el" w:eastAsia="el"/>
        </w:rPr>
        <w:t>Ο Υπουργός</w:t>
      </w:r>
    </w:p>
    <w:p>
      <w:pPr>
        <w:spacing w:before="240" w:after="240"/>
        <w:rPr>
          <w:lang w:val="el" w:eastAsia="el"/>
        </w:rPr>
      </w:pPr>
      <w:r>
        <w:rPr>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ΔΙΔΑΔ/Φ.64/996/οικ.6766/2023 19.04.2023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ΔΙΔΑΔ/Φ.64/996/οικ.6766/2023 19.04.2023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