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Θέμα</w:t>
      </w:r>
      <w:r>
        <w:rPr>
          <w:b/>
          <w:bCs/>
          <w:lang w:val="el" w:eastAsia="el"/>
        </w:rPr>
        <w:t>: Τροποποίηση της υπ’ αρ. Δ.792/426/17.06.2002 απόφασης του Υφυπουργού Οικονομίας και Οικονομικών «Καθορισμός διαδικασίας απαλλαγής και διαδικασίας βεβαίωσης και είσπραξης του Φ.Π.Α. που αναλογεί στην εισαγωγή μισθωμένων αεροσκαφών που προορίζονται για εκμετάλλευση από εγκατεστημένες στο εσωτερικό της χώρας αεροπορικές εταιρίες» (Β΄797) σχετικά με την κατάργηση της υποχρέωσης υποβολής Δ.Ε.Φ.Κ. στο αρμόδιο τελωνείο για καινούργιο μισθωμένο αεροσκάφος προερχόμενο από άλλο κράτος μέλος της Ευρωπαϊκής Ένωσης</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α)του Εθνικού Τελωνειακού Κώδικα (ν. 2960/2001, Α΄265), καθώς και των άρθρων 2, 3, 4, 5, 10, 11, 14, 17, 18, 19, 20, 21, 27, 32, 35, 38 παρ. 9, 59 παρ. 2 και 60 του Κώδικα Φ.Π.Α. (ν. 2859/2000, Α΄248) και ειδικότερα της παρ. 4 του άρθρου 16 αυτού,</w:t>
      </w:r>
    </w:p>
    <w:p>
      <w:pPr>
        <w:pStyle w:val="StructureList1"/>
        <w:spacing w:before="120" w:after="0"/>
        <w:rPr>
          <w:lang w:val="el" w:eastAsia="el"/>
        </w:rPr>
      </w:pPr>
      <w:r>
        <w:rPr>
          <w:lang w:val="el" w:eastAsia="el"/>
        </w:rPr>
        <w:t>β)</w:t>
      </w:r>
      <w:r>
        <w:rPr>
          <w:lang w:val="en" w:eastAsia="en"/>
        </w:rPr>
        <w:tab/>
      </w:r>
      <w:r>
        <w:rPr>
          <w:b/>
          <w:bCs/>
          <w:lang w:val="el" w:eastAsia="el"/>
        </w:rPr>
        <w:t>του Κανονισμού (ΕΕ) 952/2013 του Ευρωπαϊκού Κοινοβουλίου και Συμβουλίου της 9ης Οκτωβρίου 2013 για τη θέσπιση του ενωσιακού τελωνειακού κώδικα (L 269),</w:t>
      </w:r>
    </w:p>
    <w:p>
      <w:pPr>
        <w:pStyle w:val="StructureList1"/>
        <w:spacing w:before="120" w:after="0"/>
        <w:rPr>
          <w:lang w:val="el" w:eastAsia="el"/>
        </w:rPr>
      </w:pPr>
      <w:r>
        <w:rPr>
          <w:lang w:val="el" w:eastAsia="el"/>
        </w:rPr>
        <w:t>γ)</w:t>
      </w:r>
      <w:r>
        <w:rPr>
          <w:lang w:val="en" w:eastAsia="en"/>
        </w:rPr>
        <w:tab/>
      </w:r>
      <w:r>
        <w:rPr>
          <w:b/>
          <w:bCs/>
          <w:lang w:val="el" w:eastAsia="el"/>
        </w:rPr>
        <w:t>του κατ’ εξουσιοδότηση Κανονισμού (ΕΕ) 2015/2446 της Επιτροπής της 28</w:t>
      </w:r>
      <w:r>
        <w:rPr>
          <w:b/>
          <w:bCs/>
          <w:sz w:val="30"/>
          <w:szCs w:val="30"/>
          <w:vertAlign w:val="superscript"/>
          <w:lang w:val="el" w:eastAsia="el"/>
        </w:rPr>
        <w:t>ης</w:t>
      </w:r>
      <w:r>
        <w:rPr>
          <w:b/>
          <w:bCs/>
          <w:lang w:val="el" w:eastAsia="el"/>
        </w:rPr>
        <w:t xml:space="preserve">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w:t>
      </w:r>
    </w:p>
    <w:p>
      <w:pPr>
        <w:pStyle w:val="StructureList1"/>
        <w:spacing w:before="120" w:after="0"/>
        <w:rPr>
          <w:lang w:val="el" w:eastAsia="el"/>
        </w:rPr>
      </w:pPr>
      <w:r>
        <w:rPr>
          <w:lang w:val="el" w:eastAsia="el"/>
        </w:rPr>
        <w:t>δ)</w:t>
      </w:r>
      <w:r>
        <w:rPr>
          <w:lang w:val="en" w:eastAsia="en"/>
        </w:rPr>
        <w:tab/>
      </w:r>
      <w:r>
        <w:rPr>
          <w:b/>
          <w:bCs/>
          <w:lang w:val="el" w:eastAsia="el"/>
        </w:rPr>
        <w:t>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(L 343),</w:t>
      </w:r>
    </w:p>
    <w:p>
      <w:pPr>
        <w:pStyle w:val="StructureList1"/>
        <w:spacing w:before="120" w:after="0"/>
        <w:rPr>
          <w:lang w:val="el" w:eastAsia="el"/>
        </w:rPr>
      </w:pPr>
      <w:r>
        <w:rPr>
          <w:lang w:val="el" w:eastAsia="el"/>
        </w:rPr>
        <w:t>ε)</w:t>
      </w:r>
      <w:r>
        <w:rPr>
          <w:lang w:val="en" w:eastAsia="en"/>
        </w:rPr>
        <w:tab/>
      </w:r>
      <w:r>
        <w:rPr>
          <w:b/>
          <w:bCs/>
          <w:lang w:val="el" w:eastAsia="el"/>
        </w:rPr>
        <w:t>του Κεφαλαίου Α΄ «Σύσταση της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άρθρου7, της παρ. 1 του άρθρου 14 και του άρθρου 41,</w:t>
      </w:r>
    </w:p>
    <w:p>
      <w:pPr>
        <w:pStyle w:val="StructureList1"/>
        <w:spacing w:before="120" w:after="0"/>
        <w:rPr>
          <w:lang w:val="el" w:eastAsia="el"/>
        </w:rPr>
      </w:pPr>
      <w:r>
        <w:rPr>
          <w:lang w:val="el" w:eastAsia="el"/>
        </w:rPr>
        <w:t>στ)</w:t>
      </w:r>
      <w:r>
        <w:rPr>
          <w:lang w:val="en" w:eastAsia="en"/>
        </w:rPr>
        <w:tab/>
      </w:r>
      <w:r>
        <w:rPr>
          <w:b/>
          <w:bCs/>
          <w:lang w:val="el" w:eastAsia="el"/>
        </w:rPr>
        <w:t>της υπ΄αριθμ. Δ ΟΡΓ.Α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 xml:space="preserve">3. </w:t>
      </w:r>
      <w:r>
        <w:rPr>
          <w:b/>
          <w:bCs/>
          <w:lang w:val="el" w:eastAsia="el"/>
        </w:rPr>
        <w:t>Την υπ’ αριθμ. Δ 792/426/17-06-2022 απόφαση του Υφυπουργού Οικονομίας και Οικονομικών «Καθορισμός διαδικασίας απαλλαγής και διαδικασίας βεβαίωσης και είσπραξης του Φ.Π.Α. που αναλογεί στην εισαγωγή μισθωμένων αεροσκαφών που προορίζονται για εκμετάλλευση από εγκατεστημένες στο εσωτερικό της χώρας αεροπορικές εταιρίες» (Β΄797), όπως τροποποιήθηκε από την υπ’ αριθμ. Δ. 878/551/01-06-2005 απόφαση του Υφυπουργού Οικονομίας και Οικονομικών (Β΄809).</w:t>
      </w:r>
    </w:p>
    <w:p>
      <w:pPr>
        <w:pStyle w:val="PreambelText"/>
        <w:spacing w:before="240" w:after="240"/>
        <w:rPr>
          <w:lang w:val="el" w:eastAsia="el"/>
        </w:rPr>
      </w:pPr>
      <w:r>
        <w:rPr>
          <w:lang w:val="el" w:eastAsia="el"/>
        </w:rPr>
        <w:t xml:space="preserve">4. </w:t>
      </w:r>
      <w:r>
        <w:rPr>
          <w:b/>
          <w:bCs/>
          <w:lang w:val="el" w:eastAsia="el"/>
        </w:rPr>
        <w:t>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(Α΄94), όπως ισχύουν και τις αποφάσεις υπ’ αριθμ. 39/3/30.11.2017 (Υ.Ο.Δ.Δ. 689) του Συμβουλίου Διοίκησης της Α.Α.Δ.Ε. και υπ’ αριθμ. 5294ΕΞ2020/17.01.2020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ανάγκη τροποποίησης της υπ’ αριθμ. Δ 792/426/17-06-2022 απόφασης του Υφυπουργού Οικονομίας και Οικονομικών «Καθορισμός διαδικασίας απαλλαγής και διαδικασίας βεβαίωσης και είσπραξης του Φ.Π.Α. που αναλογεί στην εισαγωγή μισθωμένων αεροσκαφών που προορίζονται για εκμετάλλευση από εγκατεστημένες στο εσωτερικό της χώρας αεροπορικές εταιρίες», σχετικά με την κατάργηση της υποχρέωσης υποβολής Δ.Ε.Φ.Κ. στο αρμόδιο τελωνείο για καινούργια μισθωμένα αεροσκάφη, τα οποία μεταφέρονται από άλλο κράτος μέλος και προορίζονται για εκμετάλλευση στο εσωτερικό της χώρας.</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w:t>
      </w:r>
    </w:p>
    <w:p>
      <w:pPr>
        <w:spacing w:before="240" w:after="240"/>
        <w:rPr>
          <w:lang w:val="el" w:eastAsia="el"/>
        </w:rPr>
      </w:pPr>
      <w:r>
        <w:rPr>
          <w:b/>
          <w:bCs/>
          <w:lang w:val="el" w:eastAsia="el"/>
        </w:rPr>
        <w:t>Το τελευταίο εδάφιο της παρ. 1 του άρθρου 1 της υπ’ αρ. Δ.792/426/17.06.2002 απόφασης του Υφυπουργού Οικονομίας και Οικονομικών καταργείται.</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2</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ΓΔ.ΗΛΕ.Δ. – Τμήμα Ε΄ (για ενημέρωση ηλεκτρονικής βιβλιοθήκης ΑΑΔΕ και ανάρτηση στον ιστότοπο της ΑΑΔΕ</w:t>
      </w:r>
      <w:hyperlink r:id="rId4" w:history="1">
        <w:r>
          <w:rPr>
            <w:rStyle w:val="Hyperlink"/>
            <w:b/>
            <w:bCs/>
            <w:color w:val="0000EE"/>
            <w:u w:color="0000EE"/>
            <w:lang w:val="el" w:eastAsia="el"/>
          </w:rPr>
          <w:t>www.aade.gr</w:t>
        </w:r>
        <w:r>
          <w:rPr>
            <w:rStyle w:val="Hyperlink"/>
            <w:b/>
            <w:bCs/>
            <w:color w:val="0000EE"/>
            <w:u w:color="0000EE"/>
            <w:lang w:val="el" w:eastAsia="el"/>
          </w:rPr>
          <w:t>)</w:t>
        </w:r>
      </w:hyperlink>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Υπουργείο Υποδομών και Μεταφορών</w:t>
      </w:r>
    </w:p>
    <w:p>
      <w:pPr>
        <w:spacing w:before="240" w:after="240"/>
        <w:rPr>
          <w:lang w:val="el" w:eastAsia="el"/>
        </w:rPr>
      </w:pPr>
      <w:r>
        <w:rPr>
          <w:b/>
          <w:bCs/>
          <w:lang w:val="el" w:eastAsia="el"/>
        </w:rPr>
        <w:t>Υπηρεσία Πολιτικής Αεροπορίας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Κεντρική Ένωση Επιμελητηρίων Ελλάδας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Εμπορικό και Βιομηχανικό Επιμελητήριο Αθηνών</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Οικονομικό Επιμελητήριο Ελλάδας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Σύλλογος Εκτελωνιστών – Τελωνειακών Αντιπροσώπων Πειραιώς – Αθηνών (ΣΥ.Ε.Τ.Α.Π.Α.) Τσαμαδού 38 – Τ.Κ. 18531, Πειραιάς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Στρατηγικής Τελωνειακών Ελέγχων και Παραβάσεων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Δασμολογικών Θεμάτων και Ειδικών Καθεστώτων και Απαλλαγών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Εφαρμογής Έμμεσης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Γεν. Δ/νση Ηλεκτρονικής Διακυβέρνησης της Α.Α.Δ.Ε.</w:t>
      </w:r>
    </w:p>
    <w:p>
      <w:pPr>
        <w:spacing w:before="240" w:after="240"/>
        <w:rPr>
          <w:lang w:val="el" w:eastAsia="el"/>
        </w:rPr>
      </w:pPr>
      <w:r>
        <w:rPr>
          <w:b/>
          <w:bCs/>
          <w:lang w:val="el" w:eastAsia="el"/>
        </w:rPr>
        <w:t>Διεύθυνση Επιχειρησιακών Διαδικασιών (ΔΙ.ΕΠΙ.ΔΙ.)</w:t>
      </w:r>
    </w:p>
    <w:p>
      <w:pPr>
        <w:spacing w:before="240" w:after="240"/>
        <w:rPr>
          <w:lang w:val="el" w:eastAsia="el"/>
        </w:rPr>
      </w:pPr>
      <w:r>
        <w:rPr>
          <w:b/>
          <w:bCs/>
          <w:lang w:val="el" w:eastAsia="el"/>
        </w:rPr>
        <w:t>Υποδιεύθυνση Β’ Απαιτήσεων &amp; Ελέγχου Εφαρμογών Τελωνείων</w:t>
      </w:r>
    </w:p>
    <w:p>
      <w:pPr>
        <w:pStyle w:val="Heading1"/>
        <w:spacing w:before="240" w:after="240"/>
        <w:rPr>
          <w:lang w:val="el" w:eastAsia="el"/>
        </w:rPr>
      </w:pPr>
      <w:r>
        <w:rPr>
          <w:b/>
          <w:bCs/>
          <w:lang w:val="el" w:eastAsia="el"/>
        </w:rPr>
        <w:t xml:space="preserve">Τμήμα Η΄ </w:t>
      </w:r>
    </w:p>
    <w:p>
      <w:pPr>
        <w:pStyle w:val="Heading1"/>
        <w:spacing w:before="240" w:after="240"/>
        <w:rPr>
          <w:lang w:val="el" w:eastAsia="el"/>
        </w:rPr>
      </w:pPr>
      <w:r>
        <w:rPr>
          <w:b/>
          <w:bCs/>
          <w:lang w:val="el" w:eastAsia="el"/>
        </w:rPr>
        <w:t>- Απαιτήσεων &amp; Ελέγχου Εφαρμογών Ε.Φ.Κ. &amp; Ταμειακής Διαχείρισης</w:t>
      </w:r>
    </w:p>
    <w:p>
      <w:pPr>
        <w:spacing w:before="240" w:after="240"/>
        <w:rPr>
          <w:lang w:val="el" w:eastAsia="el"/>
        </w:rPr>
      </w:pPr>
      <w:r>
        <w:rPr>
          <w:b/>
          <w:bCs/>
          <w:lang w:val="el" w:eastAsia="el"/>
        </w:rPr>
        <w:t xml:space="preserve">8. </w:t>
      </w:r>
      <w:r>
        <w:rPr>
          <w:b/>
          <w:bCs/>
          <w:lang w:val="el" w:eastAsia="el"/>
        </w:rPr>
        <w:t>Δ/νση Νομικής Υποστήριξης Α.Α.Δ.Ε.</w:t>
      </w:r>
    </w:p>
    <w:p>
      <w:pPr>
        <w:spacing w:before="240" w:after="240"/>
        <w:rPr>
          <w:lang w:val="el" w:eastAsia="el"/>
        </w:rPr>
      </w:pPr>
      <w:r>
        <w:rPr>
          <w:b/>
          <w:bCs/>
          <w:lang w:val="el" w:eastAsia="el"/>
        </w:rPr>
        <w:t xml:space="preserve">9.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10.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