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51997 ΕΞ 2023</w:t>
      </w:r>
    </w:p>
    <w:p>
      <w:pPr>
        <w:pStyle w:val="PreambelText"/>
        <w:spacing w:before="240" w:after="240"/>
        <w:rPr>
          <w:lang w:val="el" w:eastAsia="el"/>
        </w:rPr>
      </w:pPr>
      <w:r>
        <w:rPr>
          <w:b/>
          <w:bCs/>
          <w:lang w:val="el" w:eastAsia="el"/>
        </w:rPr>
        <w:t>Θέσπιση Κανονισμού Παιγνίων - Ειδικός Κανονισμός Διοργάνωσης και Διεξαγωγής του τυχερού παιγνίου ΚΙΝΟ της ΟΠΑΠ Α.Ε.</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 (Α’ 180), ιδίως δε τις διατάξεις της παρ. 3 του άρθρου 29 και της παρ. 3Α του άρθρου 28 του νόμου αυτού, καθώς και των άρθρων 189 έως 203 του ν. 4635/2019 (Α’ 167),</w:t>
      </w:r>
    </w:p>
    <w:p>
      <w:pPr>
        <w:pStyle w:val="StructureList1"/>
        <w:spacing w:before="120" w:after="0"/>
        <w:rPr>
          <w:lang w:val="el" w:eastAsia="el"/>
        </w:rPr>
      </w:pPr>
      <w:r>
        <w:rPr>
          <w:lang w:val="el" w:eastAsia="el"/>
        </w:rPr>
        <w:t>β)</w:t>
      </w:r>
      <w:r>
        <w:rPr>
          <w:lang w:val="en" w:eastAsia="en"/>
        </w:rPr>
        <w:tab/>
      </w:r>
      <w:r>
        <w:rPr>
          <w:lang w:val="el" w:eastAsia="el"/>
        </w:rPr>
        <w:t>του άρθρου 27 του ν. 2843/2000 «Εκσυγχρονισμός των χρηματιστηριακών συναλλαγών, εισαγωγή εταιριών επενδύσεων στην ποντοπόρο ναυτιλία στο Χρηματιστήριο Αξιών Αθηνών και άλλες διατάξεις» (Α’ 19), ιδίως τις διατάξεις της παρ. 2 του άρθρου αυτού,</w:t>
      </w:r>
    </w:p>
    <w:p>
      <w:pPr>
        <w:pStyle w:val="StructureList1"/>
        <w:spacing w:before="120" w:after="0"/>
        <w:rPr>
          <w:lang w:val="el" w:eastAsia="el"/>
        </w:rPr>
      </w:pPr>
      <w:r>
        <w:rPr>
          <w:lang w:val="el" w:eastAsia="el"/>
        </w:rPr>
        <w:t>γ)</w:t>
      </w:r>
      <w:r>
        <w:rPr>
          <w:lang w:val="en" w:eastAsia="en"/>
        </w:rPr>
        <w:tab/>
      </w:r>
      <w:r>
        <w:rPr>
          <w:lang w:val="el" w:eastAsia="el"/>
        </w:rPr>
        <w:t>του άρθρου 184 του ν. 4972/2022 «Εταιρική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 (Α’ 181),</w:t>
      </w:r>
    </w:p>
    <w:p>
      <w:pPr>
        <w:pStyle w:val="StructureList1"/>
        <w:spacing w:before="120" w:after="0"/>
        <w:rPr>
          <w:lang w:val="el" w:eastAsia="el"/>
        </w:rPr>
      </w:pPr>
      <w:r>
        <w:rPr>
          <w:lang w:val="el" w:eastAsia="el"/>
        </w:rPr>
        <w:t>δ)</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ε)</w:t>
      </w:r>
      <w:r>
        <w:rPr>
          <w:lang w:val="en" w:eastAsia="en"/>
        </w:rPr>
        <w:tab/>
      </w:r>
      <w:r>
        <w:rPr>
          <w:lang w:val="el" w:eastAsia="el"/>
        </w:rPr>
        <w:t>τις διατάξεις της παρ. 8 του άρθρου 3 του ν. 2725/ 1999 με τίτλο «Ερασιτεχνικός και επαγγελματικός αθλητισμός και άλλες διατάξεις.» (Α’ 121),</w:t>
      </w:r>
    </w:p>
    <w:p>
      <w:pPr>
        <w:pStyle w:val="StructureList1"/>
        <w:spacing w:before="120" w:after="0"/>
        <w:rPr>
          <w:lang w:val="el" w:eastAsia="el"/>
        </w:rPr>
      </w:pPr>
      <w:r>
        <w:rPr>
          <w:lang w:val="el" w:eastAsia="el"/>
        </w:rPr>
        <w:t>στ)</w:t>
      </w:r>
      <w:r>
        <w:rPr>
          <w:lang w:val="en" w:eastAsia="en"/>
        </w:rPr>
        <w:tab/>
      </w:r>
      <w:r>
        <w:rPr>
          <w:lang w:val="el" w:eastAsia="el"/>
        </w:rPr>
        <w:t>των άρθρων 58 έως και 60 του ν. 2961/2001 με τίτλο «Κύρωση του Κώδικα Διατάξεων Φορολογίας Κληρονομιών, Δωρεών, Γονικών Παροχών Προικών και Κερδών από Τυχερά Παίγνια» (Α’ 266),</w:t>
      </w:r>
    </w:p>
    <w:p>
      <w:pPr>
        <w:pStyle w:val="StructureList1"/>
        <w:spacing w:before="120" w:after="0"/>
        <w:rPr>
          <w:lang w:val="el" w:eastAsia="el"/>
        </w:rPr>
      </w:pPr>
      <w:r>
        <w:rPr>
          <w:lang w:val="el" w:eastAsia="el"/>
        </w:rPr>
        <w:t>ζ)</w:t>
      </w:r>
      <w:r>
        <w:rPr>
          <w:lang w:val="en" w:eastAsia="en"/>
        </w:rPr>
        <w:tab/>
      </w:r>
      <w:r>
        <w:rPr>
          <w:lang w:val="el" w:eastAsia="el"/>
        </w:rPr>
        <w:t>του ν. 4183/2013 «Κύρωση της Σύμβασης Παραχώρησης του αποκλειστικού δικαιώματος παραγωγής, λειτουργίας, κυκλοφορίας, προβολής και διαχείρισης των Κρατικών Λαχείων και άλλες διατάξεις» (Α’ 186),</w:t>
      </w:r>
    </w:p>
    <w:p>
      <w:pPr>
        <w:pStyle w:val="StructureList1"/>
        <w:spacing w:before="120" w:after="0"/>
        <w:rPr>
          <w:lang w:val="el" w:eastAsia="el"/>
        </w:rPr>
      </w:pPr>
      <w:r>
        <w:rPr>
          <w:lang w:val="el" w:eastAsia="el"/>
        </w:rPr>
        <w:t>η)</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θ)</w:t>
      </w:r>
      <w:r>
        <w:rPr>
          <w:lang w:val="en" w:eastAsia="en"/>
        </w:rPr>
        <w:tab/>
      </w:r>
      <w:r>
        <w:rPr>
          <w:lang w:val="el" w:eastAsia="el"/>
        </w:rPr>
        <w:t>της υποπαρ. Β6 της παρ. Β του άρθρου πρώτου του ν. 4152/2013 «Επείγοντα μέτρα εφαρμογής των νόμων 4046/2012, 4093/2012 και 4127/2013» (Α’ 107),</w:t>
      </w:r>
    </w:p>
    <w:p>
      <w:pPr>
        <w:pStyle w:val="StructureList1"/>
        <w:spacing w:before="120" w:after="0"/>
        <w:rPr>
          <w:lang w:val="el" w:eastAsia="el"/>
        </w:rPr>
      </w:pPr>
      <w:r>
        <w:rPr>
          <w:lang w:val="el" w:eastAsia="el"/>
        </w:rPr>
        <w:t>ι)</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ια)</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StructureList1"/>
        <w:spacing w:before="120" w:after="0"/>
        <w:rPr>
          <w:lang w:val="el" w:eastAsia="el"/>
        </w:rPr>
      </w:pPr>
      <w:r>
        <w:rPr>
          <w:lang w:val="el" w:eastAsia="el"/>
        </w:rPr>
        <w:t>ιβ)</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ιγ)</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ιδ)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ως προς το Κεφάλαιο ΙΑ’ «Ψηφιακή Διαφάνεια-Πρόγραμμα ΔΙΑΥΓΕΙΑ»,</w:t>
      </w:r>
    </w:p>
    <w:p>
      <w:pPr>
        <w:pStyle w:val="StructureList1"/>
        <w:spacing w:before="120" w:after="0"/>
        <w:rPr>
          <w:lang w:val="el" w:eastAsia="el"/>
        </w:rPr>
      </w:pPr>
      <w:r>
        <w:rPr>
          <w:lang w:val="el" w:eastAsia="el"/>
        </w:rPr>
        <w:t>ιε)</w:t>
      </w:r>
      <w:r>
        <w:rPr>
          <w:lang w:val="en" w:eastAsia="en"/>
        </w:rPr>
        <w:tab/>
      </w:r>
      <w:r>
        <w:rPr>
          <w:lang w:val="el" w:eastAsia="el"/>
        </w:rPr>
        <w:t>του άρθρου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StructureList1"/>
        <w:spacing w:before="120" w:after="0"/>
        <w:rPr>
          <w:lang w:val="el" w:eastAsia="el"/>
        </w:rPr>
      </w:pPr>
      <w:r>
        <w:rPr>
          <w:lang w:val="el" w:eastAsia="el"/>
        </w:rPr>
        <w:t>ιστ)</w:t>
      </w:r>
      <w:r>
        <w:rPr>
          <w:lang w:val="en" w:eastAsia="en"/>
        </w:rPr>
        <w:tab/>
      </w:r>
      <w:r>
        <w:rPr>
          <w:lang w:val="el" w:eastAsia="el"/>
        </w:rPr>
        <w:t>των άρθρων 17 και 34 του π.δ. 142/2017 «Οργανισμός Υπουργείου Οικονομικών» (Α’ 181),</w:t>
      </w:r>
    </w:p>
    <w:p>
      <w:pPr>
        <w:pStyle w:val="StructureList1"/>
        <w:spacing w:before="120" w:after="0"/>
        <w:rPr>
          <w:lang w:val="el" w:eastAsia="el"/>
        </w:rPr>
      </w:pPr>
      <w:r>
        <w:rPr>
          <w:lang w:val="el" w:eastAsia="el"/>
        </w:rPr>
        <w:t>ιζ)</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υπ’ αρ. 70330 οικ./30.6.2015 κοινή απόφαση των Υπουργών Οικονομίας, Υποδομών, Ναυτιλίας και Τουρισμού Δικαιοσύνης, Διαφάνειας και Ανθρωπίνων Δικαιωμάτων «Ρυθμίσεις σχετικά με προσαρμογή της ελληνικής νομοθεσίας, σε συμμόρφωση με την Οδηγία 2013/11/ΕΕ του Ευρωπαϊκού Κοινοβουλίου και του Συμβουλίου της 21ης Μαΐου 2013 για την εναλλακτική επίλυση καταναλωτικών διαφορών και για την τροποποίηση του κανονισμού (ΕΚ) αριθ. 2006/2004 και της οδηγίας 2009/22/ΕΚ (οδηγία ΕΕΚΔ) και την λήψη συμπληρωματικών εθνικών μέτρων εφαρμογής του Κανονισμού 524/2013 του Ευρωπαϊκού Κοινοβουλίου και του Συμβουλίου της 21ης Μαΐου 2013 για την ηλεκτρονική επίλυση καταναλωτικών διαφορών» (Β’ 1421).</w:t>
      </w:r>
    </w:p>
    <w:p>
      <w:pPr>
        <w:pStyle w:val="PreambelText"/>
        <w:spacing w:before="240" w:after="240"/>
        <w:rPr>
          <w:lang w:val="el" w:eastAsia="el"/>
        </w:rPr>
      </w:pPr>
      <w:r>
        <w:rPr>
          <w:lang w:val="el" w:eastAsia="el"/>
        </w:rPr>
        <w:t>3. Την υπ’ αρ. 56660/1679/22.12.2011 κοινή απόφαση των Υπουργών Οικονομικών και Πολιτισμού και Τουρισμού «Πιστοποίηση έναρξης λειτουργίας της Επιτροπής Εποπτείας και Ελέγχου Παιγνίων (Ε.Ε.Ε.Π.)» (Β’ 2910).</w:t>
      </w:r>
    </w:p>
    <w:p>
      <w:pPr>
        <w:pStyle w:val="PreambelText"/>
        <w:spacing w:before="240" w:after="240"/>
        <w:rPr>
          <w:lang w:val="el" w:eastAsia="el"/>
        </w:rPr>
      </w:pPr>
      <w:r>
        <w:rPr>
          <w:lang w:val="el" w:eastAsia="el"/>
        </w:rPr>
        <w:t>4. Την υπ’ αρ. 145940/ΕΞ 2020/21.12.2020 (ΥΟΔΔ 1089) απόφαση του Υπουργού Οικονομικών, σε συνδυασμό με τις με αριθμό 2/3935/0004/24.7.2018 (ΥΟΔΔ 428), 9433 ΕΞ 2019/12.2.2019 (ΥΟΔΔ 64), 3557 ΕΞ 2020/14.01.2020 (ΥΟΔΔ 20) όμοιες αποφάσεις, περί συγκρότησης της Ε.Ε.Ε.Π.</w:t>
      </w:r>
    </w:p>
    <w:p>
      <w:pPr>
        <w:pStyle w:val="PreambelText"/>
        <w:spacing w:before="240" w:after="240"/>
        <w:rPr>
          <w:lang w:val="el" w:eastAsia="el"/>
        </w:rPr>
      </w:pPr>
      <w:r>
        <w:rPr>
          <w:lang w:val="el" w:eastAsia="el"/>
        </w:rPr>
        <w:t>5. Την υπ’ αρ. 609/2/12.11.2021 απόφαση της Ε.Ε.Ε.Π. «Τροποποίηση και κωδικοποίηση της υπ’ αρ. 218/2/ 22.09.2016 απόφασης «Έγκριση Κανονισμού Οργάνωσης, Διάρθρωσης και Λειτουργίας Υπηρεσιακών Μονάδων της Επιτροπής Εποπτείας και Ελέγχου Παιγνίων (Β’ 3404)» (Β’ 5536).</w:t>
      </w:r>
    </w:p>
    <w:p>
      <w:pPr>
        <w:pStyle w:val="PreambelText"/>
        <w:spacing w:before="240" w:after="240"/>
        <w:rPr>
          <w:lang w:val="el" w:eastAsia="el"/>
        </w:rPr>
      </w:pPr>
      <w:r>
        <w:rPr>
          <w:lang w:val="el" w:eastAsia="el"/>
        </w:rPr>
        <w:t>6. Την υπ’ αρ. 2170/22.01.2009 κοινή υπουργική απόφαση με τίτλο «Έγκριση του Κανονισμού Οργάνωσης, Λειτουργίας και Διεξαγωγής του Αριθμολαχείου «KINO» της ΟΠΑΠ Α.Ε.» (Β’ 78).</w:t>
      </w:r>
    </w:p>
    <w:p>
      <w:pPr>
        <w:pStyle w:val="PreambelText"/>
        <w:spacing w:before="240" w:after="240"/>
        <w:rPr>
          <w:lang w:val="el" w:eastAsia="el"/>
        </w:rPr>
      </w:pPr>
      <w:r>
        <w:rPr>
          <w:lang w:val="el" w:eastAsia="el"/>
        </w:rPr>
        <w:t>7. Την υπ’ αρ. 79292 ΕΞ 2020/23.7.2020 απόφαση του Υπουργού Οικονομικών «Θέσπιση Κανονισμού Παιγνίων περί Εμπορικής Επικοινωνίας Τυχερών Παιγνίων» (Β’ 3260).</w:t>
      </w:r>
    </w:p>
    <w:p>
      <w:pPr>
        <w:pStyle w:val="PreambelText"/>
        <w:spacing w:before="240" w:after="240"/>
        <w:rPr>
          <w:lang w:val="el" w:eastAsia="el"/>
        </w:rPr>
      </w:pPr>
      <w:r>
        <w:rPr>
          <w:lang w:val="el" w:eastAsia="el"/>
        </w:rPr>
        <w:t>8. Την υπ’ αρ. 79314 ΕΞ 2020/23.7.2020 απόφαση του Υπουργού Οικονομικών «Θέσπιση Κανονισμού Παιγνίων περί Διεξαγωγής Τυχερών Παιγνίων μέσω Παιγνιομηχανημάτων τύπου Video Lottery Terminal (VLT)» (Β’ 3263), όπως ισχύει.</w:t>
      </w:r>
    </w:p>
    <w:p>
      <w:pPr>
        <w:pStyle w:val="PreambelText"/>
        <w:spacing w:before="240" w:after="240"/>
        <w:rPr>
          <w:lang w:val="el" w:eastAsia="el"/>
        </w:rPr>
      </w:pPr>
      <w:r>
        <w:rPr>
          <w:lang w:val="el" w:eastAsia="el"/>
        </w:rPr>
        <w:t>9. Την υπ’ αρ. 125944 ΕΞ 2020/4.11.2020 απόφαση του Υπουργού Οικονομικών «Θέσπιση Κανονισμού Παιγνίων περί Διοικητικών Μέτρων και Κυρώσεων» (Β’ 4884).</w:t>
      </w:r>
    </w:p>
    <w:p>
      <w:pPr>
        <w:pStyle w:val="PreambelText"/>
        <w:spacing w:before="240" w:after="240"/>
        <w:rPr>
          <w:lang w:val="el" w:eastAsia="el"/>
        </w:rPr>
      </w:pPr>
      <w:r>
        <w:rPr>
          <w:lang w:val="el" w:eastAsia="el"/>
        </w:rPr>
        <w:t>10. Την υπ’ αρ. 56580 ΕΞ 2022/27.04.2022 απόφαση του Υπουργού Οικονομικών «Τροποποίηση και κωδικοποίηση της υπ’ αρ. 79305/27.7.2020 απόφασης του Υπουργού Οικονομικών «Θέσπιση Κανονισμού Παιγνίων περί Καταλληλότητας Προσώπων» (Β’ 3262, Διόρθωση σφαλμάτων Β’4441)» (Β’ 2166).</w:t>
      </w:r>
    </w:p>
    <w:p>
      <w:pPr>
        <w:pStyle w:val="PreambelText"/>
        <w:spacing w:before="240" w:after="240"/>
        <w:rPr>
          <w:lang w:val="el" w:eastAsia="el"/>
        </w:rPr>
      </w:pPr>
      <w:r>
        <w:rPr>
          <w:lang w:val="el" w:eastAsia="el"/>
        </w:rPr>
        <w:t>11. Την υπ’ αρ. 100379 ΕΞ 2021/16.8.2021 απόφαση του Υπουργού Οικονομικών «Κανονισμός Παιγνίων - Γενικός κανονισμός Διοργάνωσης και Διεξαγωγής των Τυχερών Παιγνίων της ΟΠΑΠ Α.Ε.» (Β’ 3838).</w:t>
      </w:r>
    </w:p>
    <w:p>
      <w:pPr>
        <w:pStyle w:val="PreambelText"/>
        <w:spacing w:before="240" w:after="240"/>
        <w:rPr>
          <w:lang w:val="el" w:eastAsia="el"/>
        </w:rPr>
      </w:pPr>
      <w:r>
        <w:rPr>
          <w:lang w:val="el" w:eastAsia="el"/>
        </w:rPr>
        <w:t>12. Την υπ’ αρ. 157593 ΕΞ 2022 απόφαση του Υπουργού Οικονομικών με θέμα «Θέσπιση Κανονισμού παιγνίων - Κανονισμός Διοργάνωσης και Διεξαγωγής των Τυχερών παιγνίων της ΟΠΑΠ ΑΕ μέσω διαδικτύου» (Β’ 5571).</w:t>
      </w:r>
    </w:p>
    <w:p>
      <w:pPr>
        <w:pStyle w:val="PreambelText"/>
        <w:spacing w:before="240" w:after="240"/>
        <w:rPr>
          <w:lang w:val="el" w:eastAsia="el"/>
        </w:rPr>
      </w:pPr>
      <w:r>
        <w:rPr>
          <w:lang w:val="el" w:eastAsia="el"/>
        </w:rPr>
        <w:t>13. Την υπ’ αρ. 554/5/15.04.2021 απόφαση της Ε.Ε.Ε.Π. «Έκδοση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 της παρ. 3 του άρθρου 28 του ν. 4002/2011 (Α’ 180)» (Β’ 1633).</w:t>
      </w:r>
    </w:p>
    <w:p>
      <w:pPr>
        <w:pStyle w:val="PreambelText"/>
        <w:spacing w:before="240" w:after="240"/>
        <w:rPr>
          <w:lang w:val="el" w:eastAsia="el"/>
        </w:rPr>
      </w:pPr>
      <w:r>
        <w:rPr>
          <w:lang w:val="el" w:eastAsia="el"/>
        </w:rPr>
        <w:t>14. Την από 15.12.2000 Σύμβαση Παραχώρησης μεταξύ του Ελληνικού Δημοσίου και του Φορέα Εκμετάλλευσης, όπως τροποποιήθηκε με την από 4.11.2011 πράξη, επεκτάθηκε με την από 12.12.2011 πρόσθετη πράξη που τροποποιήθηκε με την από 29.04.2013 πράξη και ισχύει.</w:t>
      </w:r>
    </w:p>
    <w:p>
      <w:pPr>
        <w:pStyle w:val="PreambelText"/>
        <w:spacing w:before="240" w:after="240"/>
        <w:rPr>
          <w:lang w:val="el" w:eastAsia="el"/>
        </w:rPr>
      </w:pPr>
      <w:r>
        <w:rPr>
          <w:lang w:val="el" w:eastAsia="el"/>
        </w:rPr>
        <w:t>15. Το υπό στοιχεία OPGP22028312/19.12.2022 έγγραφο της Ο.Π.ΑΠ. Α.Ε. προς την Τριμελή Επιτροπή Ελέγχου της ΟΠΑΠ Α.Ε., το οποίο κοινοποιήθηκε στην Ε.Ε.Ε.Π., με θέμα «Υποβολή νέας πρότασης Κανονισμού Παιγνίων με τίτλο «Ειδικός Κανονισμός Διοργάνωσης και Διεξαγωγής του τυχερού παιγνίου ΚΙΝΟ της ΟΠΑΠ Α.Ε.».</w:t>
      </w:r>
    </w:p>
    <w:p>
      <w:pPr>
        <w:pStyle w:val="PreambelText"/>
        <w:spacing w:before="240" w:after="240"/>
        <w:rPr>
          <w:lang w:val="el" w:eastAsia="el"/>
        </w:rPr>
      </w:pPr>
      <w:r>
        <w:rPr>
          <w:lang w:val="el" w:eastAsia="el"/>
        </w:rPr>
        <w:t>16. Το υπ’ αρ. 2015/17.01.2023 έγγραφο της τριμελούς Επιτροπής Ελέγχου της ΟΠΑΠ Α.Ε. προς την ΟΠΑΠ ΑΕ, το οποίο κοινοποιήθηκε στην Ε.Ε.Ε.Π.</w:t>
      </w:r>
    </w:p>
    <w:p>
      <w:pPr>
        <w:pStyle w:val="PreambelText"/>
        <w:spacing w:before="240" w:after="240"/>
        <w:rPr>
          <w:lang w:val="el" w:eastAsia="el"/>
        </w:rPr>
      </w:pPr>
      <w:r>
        <w:rPr>
          <w:lang w:val="el" w:eastAsia="el"/>
        </w:rPr>
        <w:t>17. Την ανάγκη θέσπισης Κανονισμού Παιγνίων με τίτλο «Θέσπιση Κανονισμού Παιγνίων - Ειδικός Κανονισμός Διοργάνωσης και Διεξαγωγής του τυχερού παιγνίου ΚΙΝΟ της ΟΠΑΠ Α.Ε.», σύμφωνα με την παρ. 3 του άρθρου 29 του ν. 4002/2011 (Α’ 180), εναρμονισμένου με τις υπό στοιχεία 56580 ΕΞ 2022/27.04.2022 (Β’ 2166), 79292 ΕΞ 2020/23.7.2020 (Β’ 3260) και 125944 ΕΞ 2020/4.11.2020 (Β’ 4884) αποφάσεις Κανονισμού Παιγνίων του Υπουργού Οικονομικών.</w:t>
      </w:r>
    </w:p>
    <w:p>
      <w:pPr>
        <w:pStyle w:val="PreambelText"/>
        <w:spacing w:before="240" w:after="240"/>
        <w:rPr>
          <w:lang w:val="el" w:eastAsia="el"/>
        </w:rPr>
      </w:pPr>
      <w:r>
        <w:rPr>
          <w:lang w:val="el" w:eastAsia="el"/>
        </w:rPr>
        <w:t>18. Την υπ’ αρ. 1/3/20.01.2023 απόφαση της Ε.Ε.Ε.Π. με θέμα «Εισήγηση στον Υπουργό Οικονομικών για την έκδοση απόφασης, σύμφωνα με την παρ. 3 του άρθρου 29 του ν. 4002/2011 (Α’ 180), με τίτλο «Θέσπιση Κανονισμού Παίγνιων - Ειδικός Κανονισμός Διοργάνωσης και Διεξαγωγής του τυχερού παιγνίου ΚΙΝΟ της ΟΠΑΠ Α.Ε.».</w:t>
      </w:r>
    </w:p>
    <w:p>
      <w:pPr>
        <w:pStyle w:val="PreambelText"/>
        <w:spacing w:before="240" w:after="240"/>
        <w:rPr>
          <w:lang w:val="el" w:eastAsia="el"/>
        </w:rPr>
      </w:pPr>
      <w:r>
        <w:rPr>
          <w:lang w:val="el" w:eastAsia="el"/>
        </w:rPr>
        <w:t>19. Το γεγονός ότι στις σελίδες 137 - 138 της Αιτιολογικής Έκθεσης του ν. 4635/2019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pStyle w:val="PreambelText"/>
        <w:spacing w:before="240" w:after="240"/>
        <w:rPr>
          <w:lang w:val="el" w:eastAsia="el"/>
        </w:rPr>
      </w:pPr>
      <w:r>
        <w:rPr>
          <w:lang w:val="el" w:eastAsia="el"/>
        </w:rPr>
        <w:t>20. Το γεγονός ότι αναφέρεται στην υπ’ αρ. 1/3/ 20.01.2023 απόφαση της Ε.Ε.Ε.Π. ότι οι προτεινόμενες με την παρούσα ρυθμίσεις δεν χρήζουν γνωστοποίησης στην Ε.Ε., σύμφωνα με τις διατάξεις του π. δ. 81/2018 «Ενσωμάτωση στο ελληνικό δίκαιο της Οδηγίας (ΕΕ) 2015/ 1535 του Ευρωπαϊκού Κοινοβουλίου και του Συμβουλίου της 9ης Σεπτεμβρίου 2015 (ΕΕ L 241 της 17.9.2015, σ. 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 δεδομένου ότι δεν περιορίζουν ήδη ισχύουσες ή/και γνωστοποιηθείσες διατάξεις, ούτε εισάγουν νέους περιορισμούς, εμπόδια ή απαγορεύσεις σε σχέση με την πρόσβαση, παροχή, εγκατάσταση και χρήση των υπηρεσιών τυχερών παιγνίων και τις προδιαγραφές των συναφών με την παροχή και χρήση αυτή προϊόντων και υπηρεσιών.</w:t>
      </w:r>
    </w:p>
    <w:p>
      <w:pPr>
        <w:pStyle w:val="PreambelText"/>
        <w:spacing w:before="240" w:after="240"/>
        <w:rPr>
          <w:lang w:val="el" w:eastAsia="el"/>
        </w:rPr>
      </w:pPr>
      <w:r>
        <w:rPr>
          <w:lang w:val="el" w:eastAsia="el"/>
        </w:rPr>
        <w:t>21. Το γεγονός ότι αναφέρεται στην υπ’ αρ. 1/3/ 20.01.2023 απόφαση της Ε.Ε.Ε.Π. ότι οι προτεινόμενες με την παρούσα ρυθμίσεις δεν εμπεριέχουν στοιχεία, άμεσης ή έμμεσης, κρατικής ενίσχυσης, κατά την έννοια του άρθρου 107.1 της Συνθήκης για τη Λειτουργία της Ευρωπαϊκής Ένωσης (ΣΛΕΕ) και ως εκ τούτου, δεν απαιτείται καταχώριση αυτών στο ηλεκτρονικό σύστημα SANI προς κοινοποίηση στην Ευρωπαϊκή Επιτροπή, σύμφωνα με την υποπαρ. Β6 της παρ. Β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22. Τις υπ’ αρ. 34676 ΕΞ 2023/3.3.2023 και 47256 ΕΞ 2023/24.3.2023 εισηγήσεις της Γεν. Δ/νσης Οικονομικών Υπηρεσιών Υπουργείου Οικονομικών.</w:t>
      </w:r>
    </w:p>
    <w:p>
      <w:pPr>
        <w:pStyle w:val="PreambelText"/>
        <w:spacing w:before="240" w:after="240"/>
        <w:rPr>
          <w:lang w:val="el" w:eastAsia="el"/>
        </w:rPr>
      </w:pPr>
      <w:r>
        <w:rPr>
          <w:lang w:val="el" w:eastAsia="el"/>
        </w:rPr>
        <w:t>23. Το γεγονός ότι από την απόφαση αυτή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Θεσπίζουμε τον Κανονισμό Παιγνίων - Ειδικό Κανονισμό Διοργάνωσης και Διεξαγωγής του τυχερού παιγνίου ΚΙΝΟ της ΟΠΑΠ Α.Ε.,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Γενικός Κανονισμός είναι η υπ’ αρ. 100379 ΕΞ 16.8.2021 απόφαση Υπουργού Οικονομικών «Θέσπιση Κανονισμού Παιγνίων - Γενικός Κανονισμός Διοργάνωσης και Διεξαγωγής των Τυχερών Παιγνίων της ΟΠΑΠ ΑΕ» (Β’ 3838/2021), όπως ισχύει.</w:t>
      </w:r>
    </w:p>
    <w:p>
      <w:pPr>
        <w:spacing w:before="240" w:after="240"/>
        <w:rPr>
          <w:lang w:val="el" w:eastAsia="el"/>
        </w:rPr>
      </w:pPr>
      <w:r>
        <w:rPr>
          <w:lang w:val="el" w:eastAsia="el"/>
        </w:rPr>
        <w:t>Δελτίο είναι το δελτίο του άρθρου 60 του ν. 2961/2001 (Α’ 266), με το οποίο ο Παίκτης συμμετέχει στο τυχερό παίγνιο ΚΙΝΟ.</w:t>
      </w:r>
    </w:p>
    <w:p>
      <w:pPr>
        <w:spacing w:before="240" w:after="240"/>
        <w:rPr>
          <w:lang w:val="el" w:eastAsia="el"/>
        </w:rPr>
      </w:pPr>
      <w:r>
        <w:rPr>
          <w:lang w:val="el" w:eastAsia="el"/>
        </w:rPr>
        <w:t>Διεξαγωγή είναι η διεξαγωγή παιγνίου της περ. ιθ’ του άρθρου 25 του ν. 4002/2011 (Α’ 180). Όπου στις διατάξεις του παρόντος προβλέπεται η έννοια της Διεξαγωγής νοείται και η έννοια της Διοργάνωσης.</w:t>
      </w:r>
    </w:p>
    <w:p>
      <w:pPr>
        <w:spacing w:before="240" w:after="240"/>
        <w:rPr>
          <w:lang w:val="el" w:eastAsia="el"/>
        </w:rPr>
      </w:pPr>
      <w:r>
        <w:rPr>
          <w:lang w:val="el" w:eastAsia="el"/>
        </w:rPr>
        <w:t>Διοργάνωση είναι διοργάνωση παιγνίου της περ. ιη’ του άρθρου 25 του ν. 4002/2011 (Α’ 180). Όπου στις διατάξεις του παρόντος προβλέπεται η έννοια της διοργάνωσης νοείται και η έννοια της Διεξαγωγής.</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Ιστότοπος είναι ο επίσημος διαδικτυακός τόπος του Φορέα Εκμετάλλευσης.</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Διαδικτυακών Παιγνίων της ΟΠΑΠ Α.Ε. είναι ο Κανονισμός Παιγνίων για τη Διοργάνωση και Διεξαγωγή των Τυχερών Παιγνίων της ΟΠΑΠ Α.Ε. μέσω του διαδικτύου. (Β’ 5571/2022).</w:t>
      </w:r>
    </w:p>
    <w:p>
      <w:pPr>
        <w:spacing w:before="240" w:after="240"/>
        <w:rPr>
          <w:lang w:val="el" w:eastAsia="el"/>
        </w:rPr>
      </w:pPr>
      <w:r>
        <w:rPr>
          <w:lang w:val="el" w:eastAsia="el"/>
        </w:rPr>
        <w:t>Κανονισμός Πρακτόρων είναι η υπ’ αρ. 13491 ΕΞ 27.1.2023 απόφαση Υπουργού Οικονομικών «Θέσπιση Κανονισμού Παιγνίων - Κανονισμός Πρακτόρων της ΟΠΑΠ Α.Ε.» (Β’ 3923), όπως κάθε φορά ισχύει.</w:t>
      </w:r>
    </w:p>
    <w:p>
      <w:pPr>
        <w:spacing w:before="240" w:after="240"/>
        <w:rPr>
          <w:lang w:val="el" w:eastAsia="el"/>
        </w:rPr>
      </w:pPr>
      <w:r>
        <w:rPr>
          <w:lang w:val="el" w:eastAsia="el"/>
        </w:rPr>
        <w:t>Κεντρικό Πληροφορικό Σύστημα (ΚΠΣ) είναι 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Φορέα Εκμετάλλευσης.</w:t>
      </w:r>
    </w:p>
    <w:p>
      <w:pPr>
        <w:spacing w:before="240" w:after="240"/>
        <w:rPr>
          <w:lang w:val="el" w:eastAsia="el"/>
        </w:rPr>
      </w:pPr>
      <w:r>
        <w:rPr>
          <w:lang w:val="el" w:eastAsia="el"/>
        </w:rPr>
        <w:t>ΚΙΝΟ είναι το τυχερό παίγνιο που διοργανώνεται και διεξάγεται από τον Φορέα Εκμετάλλευσης, όπως αυτό περιγράφεται στο άρθρο 2 του Κανονισμού.</w:t>
      </w:r>
    </w:p>
    <w:p>
      <w:pPr>
        <w:spacing w:before="240" w:after="240"/>
        <w:rPr>
          <w:lang w:val="el" w:eastAsia="el"/>
        </w:rPr>
      </w:pPr>
      <w:r>
        <w:rPr>
          <w:lang w:val="el" w:eastAsia="el"/>
        </w:rPr>
        <w:t>Οδηγός Παιγνίου ΚΙΝΟ ή Οδηγός είναι το ενημερωτικό υλικό που εκδίδει ο Φορέας Εκμετάλλευσης στην ελληνική γλώσσα και περιλαμβάνει όλες τις απαραίτητες πληροφορίες για τη Συμμετοχή των Παικτών στο τυχερό παίγνιο ΚΙΝΟ.</w:t>
      </w:r>
    </w:p>
    <w:p>
      <w:pPr>
        <w:spacing w:before="240" w:after="240"/>
        <w:rPr>
          <w:lang w:val="el" w:eastAsia="el"/>
        </w:rPr>
      </w:pPr>
      <w:r>
        <w:rPr>
          <w:lang w:val="el" w:eastAsia="el"/>
        </w:rPr>
        <w:t>Παίκτης είναι το φυσικό πρόσωπο, το οποίο συμμετέχει νόμιμα στη διεξαγωγή του τυχερού παιγνίου ΚΙΝΟ.</w:t>
      </w:r>
    </w:p>
    <w:p>
      <w:pPr>
        <w:spacing w:before="240" w:after="240"/>
        <w:rPr>
          <w:lang w:val="el" w:eastAsia="el"/>
        </w:rPr>
      </w:pPr>
      <w:r>
        <w:rPr>
          <w:lang w:val="el" w:eastAsia="el"/>
        </w:rPr>
        <w:t>Πρακτορεία είναι τα επίγεια σημεία πώλησης (τύπου Α’ και ΣΤ’) του Φορέα Εκμετάλλευσης, όπως αυτά καθορίζονται στον Κανονισμό Πρακτόρων.</w:t>
      </w:r>
    </w:p>
    <w:p>
      <w:pPr>
        <w:spacing w:before="240" w:after="240"/>
        <w:rPr>
          <w:lang w:val="el" w:eastAsia="el"/>
        </w:rPr>
      </w:pPr>
      <w:r>
        <w:rPr>
          <w:lang w:val="el" w:eastAsia="el"/>
        </w:rPr>
        <w:t>Πίνακας Κερδών είναι ο πίνακας που περιλαμβάνει τα αποτελέσματα της κάθε κλήρωσης και της διανομής των κερδών ανά κατηγορία.</w:t>
      </w:r>
    </w:p>
    <w:p>
      <w:pPr>
        <w:spacing w:before="240" w:after="240"/>
        <w:rPr>
          <w:lang w:val="el" w:eastAsia="el"/>
        </w:rPr>
      </w:pPr>
      <w:r>
        <w:rPr>
          <w:lang w:val="el" w:eastAsia="el"/>
        </w:rPr>
        <w:t>Σύμβαση Προσχώρησης είναι η σύμβαση που συνάπτεται μεταξύ του Φορέα Εκμετάλλευσης και ενός φυσικού προσώπου, προκειμένου αυτό να συμμετέχει νόμιμα στο τυχερό παίγνιο KINO.</w:t>
      </w:r>
    </w:p>
    <w:p>
      <w:pPr>
        <w:spacing w:before="240" w:after="240"/>
        <w:rPr>
          <w:lang w:val="el" w:eastAsia="el"/>
        </w:rPr>
      </w:pPr>
      <w:r>
        <w:rPr>
          <w:lang w:val="el" w:eastAsia="el"/>
        </w:rPr>
        <w:t>Συμμετοχή είναι η καταχώριση των προβλέψεων του Παίκτη για την κλήρωση ή κληρώσεις του τυχερού παιγνίου ΚΙΝΟ και η επικύρωση αυτών κατόπιν της καταβολής αντιτίμου.</w:t>
      </w:r>
    </w:p>
    <w:p>
      <w:pPr>
        <w:spacing w:before="240" w:after="240"/>
        <w:rPr>
          <w:lang w:val="el" w:eastAsia="el"/>
        </w:rPr>
      </w:pPr>
      <w:r>
        <w:rPr>
          <w:lang w:val="el" w:eastAsia="el"/>
        </w:rPr>
        <w:t>Σύστημα Διανομής Κερδών είναι η περιγραφή της κατανομής του συνόλου των αποδιδόμενων κερδών μίας κλήρωσης ή περισσοτέρων κληρώσεων, κατανεμημένο σε κατηγορίες κερδών για κάθε Τύπο Παιγνίου ΚΙΝΟ, το οποίο ανακοινώνει ο Φορέας Εκμετάλλευσης με κάθε πρόσφορο τρόπο. Σε κάθε κατηγορία κερδών προσδιορίζεται το είδος και η αξία των κερδών που περιλαμβάνει, καθώς και ο τρόπος προσδιορισμού των νικητήριων Στηλών για κάθε κέρδος ή κατηγορία κέρδους. Το Σύστημα Διανομής Κερδών περιέχεται στον Οδηγό.</w:t>
      </w:r>
    </w:p>
    <w:p>
      <w:pPr>
        <w:spacing w:before="240" w:after="240"/>
        <w:rPr>
          <w:lang w:val="el" w:eastAsia="el"/>
        </w:rPr>
      </w:pPr>
      <w:r>
        <w:rPr>
          <w:lang w:val="el" w:eastAsia="el"/>
        </w:rPr>
        <w:t>Στήλη είναι η βασική μονάδα Συμμετοχής στο τυχερό παίγνιο ΚΙΝΟ, όπως καθορίζεται στον κάθε Τύπο Παιγνίου, η οποία αντιστοιχεί στο ελάχιστο χρηματικό ποσό που πρέπει να καταβάλλει ο Παίκτης για τη Συμμετοχή του στο τυχερό παίγνιο ΚΙΝΟ.</w:t>
      </w:r>
    </w:p>
    <w:p>
      <w:pPr>
        <w:spacing w:before="240" w:after="240"/>
        <w:rPr>
          <w:lang w:val="el" w:eastAsia="el"/>
        </w:rPr>
      </w:pPr>
      <w:r>
        <w:rPr>
          <w:lang w:val="el" w:eastAsia="el"/>
        </w:rPr>
        <w:t>Τύπος Παιγνίου είναι κάθε προκαθορισμένο, από τον Φορέα Εκμετάλλευσης, σύνολο αριθμών ή συνδυασμών αριθμών, το οποίο δύναται να επιλέξει ο Παίκτης για τη Συμμετοχή του στο τυχερό παίγνιο ΚΙΝΟ. Οι Τύποι Παιγνίου και οι κατηγορίες κερδών ανά Τύπο Παιγνίου ορίζονται με το Σύστημα Διανομής Κερδών και περιέχονται στον Οδηγό.</w:t>
      </w:r>
    </w:p>
    <w:p>
      <w:pPr>
        <w:spacing w:before="240" w:after="240"/>
        <w:rPr>
          <w:lang w:val="el" w:eastAsia="el"/>
        </w:rPr>
      </w:pPr>
      <w:r>
        <w:rPr>
          <w:lang w:val="el" w:eastAsia="el"/>
        </w:rPr>
        <w:t>Φορέας Εκμετάλλευσης είναι η ανώνυμη εταιρία με την επωνυμία «ΟΠΑΠ Α.Ε.».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Περιγραφή Παιχνιδιού</w:t>
      </w:r>
    </w:p>
    <w:p>
      <w:pPr>
        <w:pStyle w:val="MainText"/>
        <w:spacing w:before="120" w:after="0"/>
        <w:rPr>
          <w:lang w:val="el" w:eastAsia="el"/>
        </w:rPr>
      </w:pPr>
      <w:r>
        <w:rPr>
          <w:b/>
          <w:bCs/>
          <w:lang w:val="el" w:eastAsia="el"/>
        </w:rPr>
        <w:t>2.1.</w:t>
      </w:r>
      <w:r>
        <w:rPr>
          <w:lang w:val="el" w:eastAsia="el"/>
        </w:rPr>
        <w:t xml:space="preserve"> Ο Φορέας Εκμετάλλευσης είναι υπεύθυνος για τη Διεξαγωγή και τη Διοργάνωση του τυχερού παιγνίου ΚΙΝΟ.</w:t>
      </w:r>
    </w:p>
    <w:p>
      <w:pPr>
        <w:pStyle w:val="MainText"/>
        <w:spacing w:before="120" w:after="0"/>
        <w:rPr>
          <w:lang w:val="el" w:eastAsia="el"/>
        </w:rPr>
      </w:pPr>
      <w:r>
        <w:rPr>
          <w:b/>
          <w:bCs/>
          <w:lang w:val="el" w:eastAsia="el"/>
        </w:rPr>
        <w:t>2.2.</w:t>
      </w:r>
      <w:r>
        <w:rPr>
          <w:lang w:val="el" w:eastAsia="el"/>
        </w:rPr>
        <w:t xml:space="preserve"> Αντικείμενο του τυχερού παιγνίου ΚΙΝΟ είναι η πρόβλεψη ορισμένων αριθμών ή συνδυασμών αριθμών, ανάλογα με τον Τύπο Παιγνίου που επιλέγει ο Παίκτης, που προκύπτουν κάθε φορά από κλήρωση, από μια καθορισμένη σειρά συνεχόμενων αριθμών κατ’ ελάχιστον εξήντα (60) και κατά μέγιστο εκατό (100), με πρώτο αριθμό τον αριθμό ένα (1).</w:t>
      </w:r>
    </w:p>
    <w:p>
      <w:pPr>
        <w:pStyle w:val="MainText"/>
        <w:spacing w:before="120" w:after="0"/>
        <w:rPr>
          <w:lang w:val="el" w:eastAsia="el"/>
        </w:rPr>
      </w:pPr>
      <w:r>
        <w:rPr>
          <w:b/>
          <w:bCs/>
          <w:lang w:val="el" w:eastAsia="el"/>
        </w:rPr>
        <w:t>2.3.</w:t>
      </w:r>
      <w:r>
        <w:rPr>
          <w:lang w:val="el" w:eastAsia="el"/>
        </w:rPr>
        <w:t xml:space="preserve"> Οι αριθμοί που κληρώνονται ορίζονται κατ’ ελάχιστον σε δεκαπέντε (15) και κατά μέγιστο σε είκοσι πέντε (25), ανάλογα με τον Τύπο Παιγνίου που επιλέγει ο Παίκτης.</w:t>
      </w:r>
    </w:p>
    <w:p>
      <w:pPr>
        <w:pStyle w:val="MainText"/>
        <w:spacing w:before="120" w:after="0"/>
        <w:rPr>
          <w:lang w:val="el" w:eastAsia="el"/>
        </w:rPr>
      </w:pPr>
      <w:r>
        <w:rPr>
          <w:b/>
          <w:bCs/>
          <w:lang w:val="el" w:eastAsia="el"/>
        </w:rPr>
        <w:t>2.4.</w:t>
      </w:r>
      <w:r>
        <w:rPr>
          <w:lang w:val="el" w:eastAsia="el"/>
        </w:rPr>
        <w:t xml:space="preserve"> Το πλήθος των συνεχόμενων αριθμών που συμμετέχουν στην κλήρωση, καθώς και το πλήθος των αριθμών που κληρώνονται καθορίζονται με απόφαση του Φορέα Εκμετάλλευσης και περιέχονται στον Οδηγό.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Οδηγός Παιγνίου ΚΙΝΟ</w:t>
      </w:r>
    </w:p>
    <w:p>
      <w:pPr>
        <w:pStyle w:val="MainText"/>
        <w:spacing w:before="120" w:after="0"/>
        <w:rPr>
          <w:lang w:val="el" w:eastAsia="el"/>
        </w:rPr>
      </w:pPr>
      <w:r>
        <w:rPr>
          <w:b/>
          <w:bCs/>
          <w:lang w:val="el" w:eastAsia="el"/>
        </w:rPr>
        <w:t>3.1.</w:t>
      </w:r>
      <w:r>
        <w:rPr>
          <w:lang w:val="el" w:eastAsia="el"/>
        </w:rPr>
        <w:t xml:space="preserve"> Ο Φορέας Εκμετάλλευσης εκδίδει στην ελληνική γλώσσα τον Οδηγό που περιλαμβάνει όλες τις απαραίτητες πληροφορίες για τη Συμμετοχή των Παικτών στο τυχερό παίγνιο ΚΙΝΟ σύμφωνα με τα προβλεπόμενα στο άρθρο 12 του Γενικού Κανονισμού.</w:t>
      </w:r>
    </w:p>
    <w:p>
      <w:pPr>
        <w:pStyle w:val="MainText"/>
        <w:spacing w:before="120" w:after="0"/>
        <w:rPr>
          <w:lang w:val="el" w:eastAsia="el"/>
        </w:rPr>
      </w:pPr>
      <w:r>
        <w:rPr>
          <w:b/>
          <w:bCs/>
          <w:lang w:val="el" w:eastAsia="el"/>
        </w:rPr>
        <w:t>3.2.</w:t>
      </w:r>
      <w:r>
        <w:rPr>
          <w:lang w:val="el" w:eastAsia="el"/>
        </w:rPr>
        <w:t xml:space="preserve"> Ο Φορέας Εκμετάλλευσης γνωστοποιεί στην ΕΕΕΠ τον Οδηγό και κάθε τροποποίηση αυτού σύμφωνα με τη διαδικασία που προβλέπεται στην παρ. 3 του άρθρου 12 του Γενικού Κανονισμού. Ο πρώτος Οδηγός Παιγνίου ΚΙΝΟ αναρτάται στον Ιστότοπο του Φορέα Εκμετάλλευσης και ισχύει έναντι των Παικτών και του κοινού από τη δημοσίευση του παρόντος Κανονισμού στην Εφημερίδα της Κυβερνήσεως.</w:t>
      </w:r>
    </w:p>
    <w:p>
      <w:pPr>
        <w:pStyle w:val="MainText"/>
        <w:spacing w:before="120" w:after="0"/>
        <w:rPr>
          <w:lang w:val="el" w:eastAsia="el"/>
        </w:rPr>
      </w:pPr>
      <w:r>
        <w:rPr>
          <w:b/>
          <w:bCs/>
          <w:lang w:val="el" w:eastAsia="el"/>
        </w:rPr>
        <w:t>3.3.</w:t>
      </w:r>
      <w:r>
        <w:rPr>
          <w:lang w:val="el" w:eastAsia="el"/>
        </w:rPr>
        <w:t xml:space="preserve"> Ο Οδηγός, όπως εκάστοτε τροποποιείται, ισχύει έναντι των Παικτών και του κοινού την έβδομη ημέρα μετά την ημερομηνία ανάρτησής του στον Ιστότοπο του Φορέα Εκμετάλλευσης, με πρώτη ημέρα την επομένη της ημερομηνίας ανάρτησης.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Κληρώσεις</w:t>
      </w:r>
    </w:p>
    <w:p>
      <w:pPr>
        <w:pStyle w:val="MainText"/>
        <w:spacing w:before="120" w:after="0"/>
        <w:rPr>
          <w:lang w:val="el" w:eastAsia="el"/>
        </w:rPr>
      </w:pPr>
      <w:r>
        <w:rPr>
          <w:b/>
          <w:bCs/>
          <w:lang w:val="el" w:eastAsia="el"/>
        </w:rPr>
        <w:t>4.1</w:t>
      </w:r>
      <w:r>
        <w:rPr>
          <w:lang w:val="el" w:eastAsia="el"/>
        </w:rPr>
        <w:t xml:space="preserve"> Οι κληρώσεις του τυχερού παιγνίου ΚΙΝΟ διεξάγονται με τη χρήση ηλεκτρονικών κληρωτίδων σύμφωνα με τα προβλεπόμενα στο άρθρο 9 του Γενικού Κανονισμού.</w:t>
      </w:r>
    </w:p>
    <w:p>
      <w:pPr>
        <w:pStyle w:val="MainText"/>
        <w:spacing w:before="120" w:after="0"/>
        <w:rPr>
          <w:lang w:val="el" w:eastAsia="el"/>
        </w:rPr>
      </w:pPr>
      <w:r>
        <w:rPr>
          <w:b/>
          <w:bCs/>
          <w:lang w:val="el" w:eastAsia="el"/>
        </w:rPr>
        <w:t>4.2</w:t>
      </w:r>
      <w:r>
        <w:rPr>
          <w:lang w:val="el" w:eastAsia="el"/>
        </w:rPr>
        <w:t xml:space="preserve"> Ο Πίνακας Κερδών δημοσιοποιείται στον Ιστότοπο του Φορέα Εκμετάλλευσης και είναι διαθέσιμος μέσω των Πρακτορείων της ΟΠΑΠ Α.Ε.</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Ελάχιστο Αποδιδόμενο Ποσοστό Κερδών</w:t>
      </w:r>
    </w:p>
    <w:p>
      <w:pPr>
        <w:spacing w:before="240" w:after="240"/>
        <w:rPr>
          <w:lang w:val="el" w:eastAsia="el"/>
        </w:rPr>
      </w:pPr>
      <w:r>
        <w:rPr>
          <w:lang w:val="el" w:eastAsia="el"/>
        </w:rPr>
        <w:t>Η ελάχιστη ετήσια βάση υπολογισμού του συνόλου των αποδιδόμενων κερδών όλων των Τύπων Παιγνίων του τυχερού παίγνιου ΚΙΝΟ αντιστοιχεί σε ποσοστό 60% επί των ακαθάριστων εισπράξεων του ΚΙΝΟ.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Κατηγορίες Επιτυχιών (Κερδών)</w:t>
      </w:r>
    </w:p>
    <w:p>
      <w:pPr>
        <w:pStyle w:val="MainText"/>
        <w:spacing w:before="120" w:after="0"/>
        <w:rPr>
          <w:lang w:val="el" w:eastAsia="el"/>
        </w:rPr>
      </w:pPr>
      <w:r>
        <w:rPr>
          <w:b/>
          <w:bCs/>
          <w:lang w:val="el" w:eastAsia="el"/>
        </w:rPr>
        <w:t>6.1.</w:t>
      </w:r>
      <w:r>
        <w:rPr>
          <w:lang w:val="el" w:eastAsia="el"/>
        </w:rPr>
        <w:t xml:space="preserve"> Σε κάθε έναν από τους Τύπους Παιγνίου του ΚΙΝΟ, οι επιτυχίες κατατάσσονται σε κατηγορίες (κατηγορίες επιτυχιών) ανάλογα είτε με το πλήθος των επιλεγμένων αριθμών που περιλαμβάνονται στους αριθμούς που κληρώθηκαν είτε με τον συνδυασμό επιλεγμένων αριθμών από τους αριθμούς που κληρώθηκαν.</w:t>
      </w:r>
    </w:p>
    <w:p>
      <w:pPr>
        <w:pStyle w:val="MainText"/>
        <w:spacing w:before="120" w:after="0"/>
        <w:rPr>
          <w:lang w:val="el" w:eastAsia="el"/>
        </w:rPr>
      </w:pPr>
      <w:r>
        <w:rPr>
          <w:b/>
          <w:bCs/>
          <w:lang w:val="el" w:eastAsia="el"/>
        </w:rPr>
        <w:t>6.2.</w:t>
      </w:r>
      <w:r>
        <w:rPr>
          <w:lang w:val="el" w:eastAsia="el"/>
        </w:rPr>
        <w:t xml:space="preserve"> Τα κέρδη ανά κατηγορία επιτυχιών είναι προκαθορισμένα και προκύπτουν από αντίστοιχους συντελεστές απόδοσης πολλαπλασιαζόμενους επί την αξία κάθε Συμμετοχής.</w:t>
      </w:r>
    </w:p>
    <w:p>
      <w:pPr>
        <w:pStyle w:val="MainText"/>
        <w:spacing w:before="120" w:after="0"/>
        <w:rPr>
          <w:lang w:val="el" w:eastAsia="el"/>
        </w:rPr>
      </w:pPr>
      <w:r>
        <w:rPr>
          <w:b/>
          <w:bCs/>
          <w:lang w:val="el" w:eastAsia="el"/>
        </w:rPr>
        <w:t>6.3.</w:t>
      </w:r>
      <w:r>
        <w:rPr>
          <w:lang w:val="el" w:eastAsia="el"/>
        </w:rPr>
        <w:t xml:space="preserve"> Οι ως άνω συντελεστές απόδοσης για κάθε Τύπο Παιγνίου του ΚΙΝΟ και, αντιστοίχως, για κάθε κατηγορία επιτυχιών ορίζονται από τον Φορέα Εκμετάλλευσης και αναφέρονται αναλυτικά στο Σύστημα Διανομής Κερδών που γνωστοποιείται στους Παίκτες και στο κοινό μέσω του Οδηγού.</w:t>
      </w:r>
    </w:p>
    <w:p>
      <w:pPr>
        <w:pStyle w:val="MainText"/>
        <w:spacing w:before="120" w:after="0"/>
        <w:rPr>
          <w:lang w:val="el" w:eastAsia="el"/>
        </w:rPr>
      </w:pPr>
      <w:r>
        <w:rPr>
          <w:b/>
          <w:bCs/>
          <w:lang w:val="el" w:eastAsia="el"/>
        </w:rPr>
        <w:t>6.4.</w:t>
      </w:r>
      <w:r>
        <w:rPr>
          <w:lang w:val="el" w:eastAsia="el"/>
        </w:rPr>
        <w:t xml:space="preserve"> Ο Φορέας Εκμετάλλευσης δύναται να θέτει ανώτατο όριο στο συνολικό προς απόδοση ποσό κέρδους για κάποιες από τις κατηγορίες επιτυχιών συγκεκριμένων Τύπων Παιγνίων του ΚΙΝΟ. Το ανώτατο αυτό ποσό θα διανέμεται μεταξύ των νικητών σε μερίδια ανάλογα της αξίας της Συμμετοχής τους.</w:t>
      </w:r>
    </w:p>
    <w:p>
      <w:pPr>
        <w:pStyle w:val="MainText"/>
        <w:spacing w:before="120" w:after="0"/>
        <w:rPr>
          <w:lang w:val="el" w:eastAsia="el"/>
        </w:rPr>
      </w:pPr>
      <w:r>
        <w:rPr>
          <w:b/>
          <w:bCs/>
          <w:lang w:val="el" w:eastAsia="el"/>
        </w:rPr>
        <w:t>6.5.</w:t>
      </w:r>
      <w:r>
        <w:rPr>
          <w:lang w:val="el" w:eastAsia="el"/>
        </w:rPr>
        <w:t xml:space="preserve"> Τα ως άνω όρια καθορίζονται και αναπροσαρμόζονται με απόφαση του Φορέα Εκμετάλλευσης και αναφέρονται αναλυτικά στο Σύστημα Διανομής Κερδών που γνωστοποιείται στους Παίκτες και στο καταναλωτικό κοινό μέσω του Οδηγού.</w:t>
      </w:r>
    </w:p>
    <w:p>
      <w:pPr>
        <w:pStyle w:val="MainText"/>
        <w:spacing w:before="120" w:after="0"/>
        <w:rPr>
          <w:lang w:val="el" w:eastAsia="el"/>
        </w:rPr>
      </w:pPr>
      <w:r>
        <w:rPr>
          <w:b/>
          <w:bCs/>
          <w:lang w:val="el" w:eastAsia="el"/>
        </w:rPr>
        <w:t>6.6.</w:t>
      </w:r>
      <w:r>
        <w:rPr>
          <w:lang w:val="el" w:eastAsia="el"/>
        </w:rPr>
        <w:t xml:space="preserve"> Οποιαδήποτε αλλαγή σε Τύπους Παιγνίου του ΚΙΝΟ, κατηγορίες επιτυχιών, στα κέρδη των κατηγοριών αυτών, καθώς και στα τυχόν ανώτατα όρια του συνολικά διανεμόμενου ποσού κέρδους για κάθε κατηγορία επιτυχιών περιλαμβάνεται στον Οδηγό, ο οποίος αναρτάται στον Ιστότοπο του Φορέα Εκμετάλλευσης και περαιτέρω δημοσιοποιείται με κάθε πρόσφορο τρόπο, σύμφωνα με τα προβλεπόμενα στην παρ. 3 του άρθρου 3 του Κανονισμού.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Αντίτιμο Συμμετοχής</w:t>
      </w:r>
    </w:p>
    <w:p>
      <w:pPr>
        <w:pStyle w:val="MainText"/>
        <w:spacing w:before="120" w:after="0"/>
        <w:rPr>
          <w:lang w:val="el" w:eastAsia="el"/>
        </w:rPr>
      </w:pPr>
      <w:r>
        <w:rPr>
          <w:b/>
          <w:bCs/>
          <w:lang w:val="el" w:eastAsia="el"/>
        </w:rPr>
        <w:t>7.1.</w:t>
      </w:r>
      <w:r>
        <w:rPr>
          <w:lang w:val="el" w:eastAsia="el"/>
        </w:rPr>
        <w:t xml:space="preserve"> Το αντίτιμο Συμμετοχής ανά Στήλη ορίζεται κατ’ ελάχιστον στο ποσό των πενήντα λεπτών του ευρώ (0,50 ευρώ).</w:t>
      </w:r>
    </w:p>
    <w:p>
      <w:pPr>
        <w:pStyle w:val="MainText"/>
        <w:spacing w:before="120" w:after="0"/>
        <w:rPr>
          <w:lang w:val="el" w:eastAsia="el"/>
        </w:rPr>
      </w:pPr>
      <w:r>
        <w:rPr>
          <w:b/>
          <w:bCs/>
          <w:lang w:val="el" w:eastAsia="el"/>
        </w:rPr>
        <w:t>7.2.</w:t>
      </w:r>
      <w:r>
        <w:rPr>
          <w:lang w:val="el" w:eastAsia="el"/>
        </w:rPr>
        <w:t xml:space="preserve"> Το αντίτιμο Συμμετοχής σε κάθε Τύπο Παιγνίου του ΚΙΝΟ περιλαμβάνεται στον Οδηγό, ορίζεται και αναπροσαρμόζεται από τον Φορέα Εκμετάλλευσης, σύμφωνα με τα προβλεπόμενα στις παρ. 2 και 3 του άρθρου 3 του Κανονισμού.</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Όροι Συμμετοχής</w:t>
      </w:r>
    </w:p>
    <w:p>
      <w:pPr>
        <w:pStyle w:val="MainText"/>
        <w:spacing w:before="120" w:after="0"/>
        <w:rPr>
          <w:lang w:val="el" w:eastAsia="el"/>
        </w:rPr>
      </w:pPr>
      <w:r>
        <w:rPr>
          <w:b/>
          <w:bCs/>
          <w:lang w:val="el" w:eastAsia="el"/>
        </w:rPr>
        <w:t>8.1</w:t>
      </w:r>
      <w:r>
        <w:rPr>
          <w:lang w:val="el" w:eastAsia="el"/>
        </w:rPr>
        <w:t xml:space="preserve"> . Η Συμμετοχή του Παίκτη στο τυχερό παίγνιο ΚΙΝΟ πραγματοποιείται μέσω των Πρακτορείων ή μέσω του διαδικτύου, σύμφωνα με τα προβλεπόμενα στον παρόντα Κανονισμό, στον Γενικό Κανονισμό και στον Κανονισμό Διαδικτυακών Παιγνίων.</w:t>
      </w:r>
    </w:p>
    <w:p>
      <w:pPr>
        <w:pStyle w:val="MainText"/>
        <w:spacing w:before="120" w:after="0"/>
        <w:rPr>
          <w:lang w:val="el" w:eastAsia="el"/>
        </w:rPr>
      </w:pPr>
      <w:r>
        <w:rPr>
          <w:b/>
          <w:bCs/>
          <w:lang w:val="el" w:eastAsia="el"/>
        </w:rPr>
        <w:t>8.2</w:t>
      </w:r>
      <w:r>
        <w:rPr>
          <w:lang w:val="el" w:eastAsia="el"/>
        </w:rPr>
        <w:t xml:space="preserve"> Για τη Συμμετοχή του Παίκτη στο τυχερό παίγνιο ΚΙΝΟ απαιτείται η συμπλήρωση και υποβολή του Δελτίου, το οποίο περιλαμβάνει τις προβλέψεις του Παίκτη και όλα τα αναγνωριστικά στοιχεία που είναι απαραίτητα για την απόδειξη της Συμμετοχής του.</w:t>
      </w:r>
    </w:p>
    <w:p>
      <w:pPr>
        <w:pStyle w:val="MainText"/>
        <w:spacing w:before="120" w:after="0"/>
        <w:rPr>
          <w:lang w:val="el" w:eastAsia="el"/>
        </w:rPr>
      </w:pPr>
      <w:r>
        <w:rPr>
          <w:b/>
          <w:bCs/>
          <w:lang w:val="el" w:eastAsia="el"/>
        </w:rPr>
        <w:t>8.3</w:t>
      </w:r>
      <w:r>
        <w:rPr>
          <w:lang w:val="el" w:eastAsia="el"/>
        </w:rPr>
        <w:t xml:space="preserve"> . Ο Παίκτης οφείλει να ελέγχει ότι στο Δελτίο που υποβλήθηκε περιλαμβάνονται όλες οι προβλέψεις που αντιστοιχούν στη Συμμετοχή του.</w:t>
      </w:r>
    </w:p>
    <w:p>
      <w:pPr>
        <w:pStyle w:val="MainText"/>
        <w:spacing w:before="120" w:after="0"/>
        <w:rPr>
          <w:lang w:val="el" w:eastAsia="el"/>
        </w:rPr>
      </w:pPr>
      <w:r>
        <w:rPr>
          <w:b/>
          <w:bCs/>
          <w:lang w:val="el" w:eastAsia="el"/>
        </w:rPr>
        <w:t>8.4</w:t>
      </w:r>
      <w:r>
        <w:rPr>
          <w:lang w:val="el" w:eastAsia="el"/>
        </w:rPr>
        <w:t xml:space="preserve"> Η Συμμετοχή στο τυχερό παίγνιο ΚΙΝΟ απαγορεύεται:</w:t>
      </w:r>
    </w:p>
    <w:p>
      <w:pPr>
        <w:spacing w:before="240" w:after="240"/>
        <w:rPr>
          <w:lang w:val="el" w:eastAsia="el"/>
        </w:rPr>
      </w:pPr>
      <w:r>
        <w:rPr>
          <w:lang w:val="el" w:eastAsia="el"/>
        </w:rPr>
        <w:t>(α) μέσω Πρακτορείων, σε άτομα που δεν έχουν συμπληρώσει το δέκατο όγδοο (18) έτος της ηλικίας τους και</w:t>
      </w:r>
    </w:p>
    <w:p>
      <w:pPr>
        <w:spacing w:before="240" w:after="240"/>
        <w:rPr>
          <w:lang w:val="el" w:eastAsia="el"/>
        </w:rPr>
      </w:pPr>
      <w:r>
        <w:rPr>
          <w:lang w:val="el" w:eastAsia="el"/>
        </w:rPr>
        <w:t>(β) μέσω διαδικτύου, σε άτομα που δεν έχουν συμπληρώσει το εικοστό πρώτο (21) έτος της ηλικίας τους.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Σύμβαση Προσχώρησης</w:t>
      </w:r>
    </w:p>
    <w:p>
      <w:pPr>
        <w:pStyle w:val="MainText"/>
        <w:spacing w:before="120" w:after="0"/>
        <w:rPr>
          <w:lang w:val="el" w:eastAsia="el"/>
        </w:rPr>
      </w:pPr>
      <w:r>
        <w:rPr>
          <w:b/>
          <w:bCs/>
          <w:lang w:val="el" w:eastAsia="el"/>
        </w:rPr>
        <w:t>9.1.</w:t>
      </w:r>
      <w:r>
        <w:rPr>
          <w:lang w:val="el" w:eastAsia="el"/>
        </w:rPr>
        <w:t xml:space="preserve"> Η Συμμετοχή στο τυχερό παίγνιο ΚΙΝΟ μέσω των Πρακτορείων επιτρέπεται μόνον εφόσον έχει συναφθεί με τον Παίκτη η Σύμβαση Προσχώρησης.</w:t>
      </w:r>
    </w:p>
    <w:p>
      <w:pPr>
        <w:pStyle w:val="MainText"/>
        <w:spacing w:before="120" w:after="0"/>
        <w:rPr>
          <w:lang w:val="el" w:eastAsia="el"/>
        </w:rPr>
      </w:pPr>
      <w:r>
        <w:rPr>
          <w:b/>
          <w:bCs/>
          <w:lang w:val="el" w:eastAsia="el"/>
        </w:rPr>
        <w:t>9.1.1</w:t>
      </w:r>
      <w:r>
        <w:rPr>
          <w:lang w:val="el" w:eastAsia="el"/>
        </w:rPr>
        <w:t xml:space="preserve"> Η Σύμβαση Προσχώρησης συνάπτεται με την υποβολή του Δελτίου, τα στοιχεία του οποίου έχουν διασφαλιστεί σύμφωνα με τα οριζόμενα στο άρθρο 11 του Γενικού Κανονισμού.</w:t>
      </w:r>
    </w:p>
    <w:p>
      <w:pPr>
        <w:pStyle w:val="MainText"/>
        <w:spacing w:before="120" w:after="0"/>
        <w:rPr>
          <w:lang w:val="el" w:eastAsia="el"/>
        </w:rPr>
      </w:pPr>
      <w:r>
        <w:rPr>
          <w:b/>
          <w:bCs/>
          <w:lang w:val="el" w:eastAsia="el"/>
        </w:rPr>
        <w:t>9.2.</w:t>
      </w:r>
      <w:r>
        <w:rPr>
          <w:lang w:val="el" w:eastAsia="el"/>
        </w:rPr>
        <w:t xml:space="preserve"> Η Συμμετοχή στο τυχερό παίγνιο ΚΙΝΟ μέσω του διαδικτύου επιτρέπεται μόνον εφόσον έχει συναφθεί με τον Παίκτη η Σύμβαση Προσχώρησης, σύμφωνα με τα προβλεπόμενα στο άρθρο 10 του Κανονισμού Διαδικτυακών Παιγνίων.</w:t>
      </w:r>
    </w:p>
    <w:p>
      <w:pPr>
        <w:pStyle w:val="MainText"/>
        <w:spacing w:before="120" w:after="0"/>
        <w:rPr>
          <w:lang w:val="el" w:eastAsia="el"/>
        </w:rPr>
      </w:pPr>
      <w:r>
        <w:rPr>
          <w:b/>
          <w:bCs/>
          <w:lang w:val="el" w:eastAsia="el"/>
        </w:rPr>
        <w:t>9.3.</w:t>
      </w:r>
      <w:r>
        <w:rPr>
          <w:lang w:val="el" w:eastAsia="el"/>
        </w:rPr>
        <w:t xml:space="preserve"> Η Σύμβαση Προσχώρησης για τη Συμμετοχή στο τυχερό παίγνιο ΚΙΝΟ μέσω των Πρακτορείων, μέσω του διαδικτύου, καθώς και κάθε τροποποίηση αυτών εγκρίνονται από την ΕΕΕΠ, κατόπιν πρότασης του Φορέα Εκμετάλλευσης.</w:t>
      </w:r>
    </w:p>
    <w:p>
      <w:pPr>
        <w:pStyle w:val="MainText"/>
        <w:spacing w:before="120" w:after="0"/>
        <w:rPr>
          <w:lang w:val="el" w:eastAsia="el"/>
        </w:rPr>
      </w:pPr>
      <w:r>
        <w:rPr>
          <w:b/>
          <w:bCs/>
          <w:lang w:val="el" w:eastAsia="el"/>
        </w:rPr>
        <w:t>9.4.</w:t>
      </w:r>
      <w:r>
        <w:rPr>
          <w:lang w:val="el" w:eastAsia="el"/>
        </w:rPr>
        <w:t xml:space="preserve"> Η Σύμβαση Προσχώρησης αναρτάται στον Ιστότοπο του Φορέα Εκμετάλλευσης. Δύναται δε να καθίσταται περαιτέρω προσβάσιμη στους Παίκτες και στο κοινό με κάθε πρόσφορο μέσο που θα επιλέξει ο Φορέας Εκμετάλλευσης.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Ακύρωση Συμμετοχής</w:t>
      </w:r>
    </w:p>
    <w:p>
      <w:pPr>
        <w:pStyle w:val="MainText"/>
        <w:spacing w:before="120" w:after="0"/>
        <w:rPr>
          <w:lang w:val="el" w:eastAsia="el"/>
        </w:rPr>
      </w:pPr>
      <w:r>
        <w:rPr>
          <w:b/>
          <w:bCs/>
          <w:lang w:val="el" w:eastAsia="el"/>
        </w:rPr>
        <w:t>10.1.</w:t>
      </w:r>
      <w:r>
        <w:rPr>
          <w:lang w:val="el" w:eastAsia="el"/>
        </w:rPr>
        <w:t xml:space="preserve"> Ακύρωση Συμμετοχής επιτρέπεται μόνον στην περίπτωση Συμμετοχής στο τυχερό παίγνιο ΚΙΝΟ μέσω των Πρακτορείων και, εφόσον οι επιλογές του Παίκτη, όπως αυτές περιέχονται στο Δελτίο, δεν συμπίπτουν με τις επιλογές που καταχωρίσθηκαν στο Κεντρικό Πληροφορικό Σύστημα (ΚΠΣ). Με τον Οδηγό Παιγνίου εξειδικεύονται περαιτέρω οι περιπτώσεις που επιτρέπεται ακύρωση Συμμετοχής.</w:t>
      </w:r>
    </w:p>
    <w:p>
      <w:pPr>
        <w:pStyle w:val="MainText"/>
        <w:spacing w:before="120" w:after="0"/>
        <w:rPr>
          <w:lang w:val="el" w:eastAsia="el"/>
        </w:rPr>
      </w:pPr>
      <w:r>
        <w:rPr>
          <w:b/>
          <w:bCs/>
          <w:lang w:val="el" w:eastAsia="el"/>
        </w:rPr>
        <w:t>10.2.</w:t>
      </w:r>
      <w:r>
        <w:rPr>
          <w:lang w:val="el" w:eastAsia="el"/>
        </w:rPr>
        <w:t xml:space="preserve"> Σε περίπτωση ακύρωσης Συμμετοχής επιστρέφεται στον Παίκτη το αντίτιμο της Συμμετοχής του.</w:t>
      </w:r>
    </w:p>
    <w:p>
      <w:pPr>
        <w:pStyle w:val="MainText"/>
        <w:spacing w:before="120" w:after="0"/>
        <w:rPr>
          <w:lang w:val="el" w:eastAsia="el"/>
        </w:rPr>
      </w:pPr>
      <w:r>
        <w:rPr>
          <w:b/>
          <w:bCs/>
          <w:lang w:val="el" w:eastAsia="el"/>
        </w:rPr>
        <w:t>10.3.</w:t>
      </w:r>
      <w:r>
        <w:rPr>
          <w:lang w:val="el" w:eastAsia="el"/>
        </w:rPr>
        <w:t xml:space="preserve"> Η ακύρωση Συμμετοχής είναι δυνατή μέχρι την έναρξη της κλήρωσης πριν από την οποία κατατέθηκε η Συμμετοχή.</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Για κάθε θέμα που δεν ρυθμίζεται με τον παρόντα Κανονισμό εφαρμόζονται τα όσα προβλέπονται στο Γενικό Κανονισμό, στον Κανονισμό Διαδικτυακών Παιγνίων και στις κείμενες διατάξεις.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Κανονισμού καταργείται η με αριθμό 2170/2009 (Β’ 78) κοινή υπουργική απόφαση όπως τροποποιήθηκε με:</w:t>
      </w:r>
    </w:p>
    <w:p>
      <w:pPr>
        <w:spacing w:before="240" w:after="240"/>
        <w:rPr>
          <w:lang w:val="el" w:eastAsia="el"/>
        </w:rPr>
      </w:pPr>
      <w:r>
        <w:rPr>
          <w:lang w:val="el" w:eastAsia="el"/>
        </w:rPr>
        <w:t>(i) την υπ’ αρ. 168/4/30.7.2015 απόφαση της ΕΕΕΠ (Β’ 1959),</w:t>
      </w:r>
    </w:p>
    <w:p>
      <w:pPr>
        <w:spacing w:before="240" w:after="240"/>
        <w:rPr>
          <w:lang w:val="el" w:eastAsia="el"/>
        </w:rPr>
      </w:pPr>
      <w:r>
        <w:rPr>
          <w:lang w:val="el" w:eastAsia="el"/>
        </w:rPr>
        <w:t>(ii) την υπ’ αρ. 188/3/10.12.2015 απόφαση της ΕΕΕΠ (Β’ 2928),</w:t>
      </w:r>
    </w:p>
    <w:p>
      <w:pPr>
        <w:spacing w:before="240" w:after="240"/>
        <w:rPr>
          <w:lang w:val="el" w:eastAsia="el"/>
        </w:rPr>
      </w:pPr>
      <w:r>
        <w:rPr>
          <w:lang w:val="el" w:eastAsia="el"/>
        </w:rPr>
        <w:t>(iii) την υπ’ αρ. 337/2/02.08.2018 απόφαση της ΕΕΕΠ (Β’ 3981).</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Απριλίου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