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6ΥΡ046ΜΠ</w:t>
      </w:r>
    </w:p>
    <w:p>
      <w:pPr>
        <w:pStyle w:val="Title"/>
        <w:spacing w:before="120" w:after="360"/>
        <w:rPr>
          <w:lang w:val="el" w:eastAsia="el"/>
        </w:rPr>
      </w:pPr>
      <w:r>
        <w:rPr>
          <w:b/>
          <w:bCs/>
          <w:lang w:val="el" w:eastAsia="el"/>
        </w:rPr>
        <w:t>Αρ. ΦΕΚ: Β’ 1015/23.02.2023</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w:t>
      </w:r>
    </w:p>
    <w:p>
      <w:pPr>
        <w:spacing w:before="240" w:after="240"/>
        <w:rPr>
          <w:lang w:val="el" w:eastAsia="el"/>
        </w:rPr>
      </w:pPr>
      <w:r>
        <w:rPr>
          <w:b/>
          <w:bCs/>
          <w:lang w:val="el" w:eastAsia="el"/>
        </w:rPr>
        <w:t>ΕΤΑΙΡΕΙΩΝ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 xml:space="preserve">10184 Αθήνα 210-3375079,149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Θέμα: «Καθορισμός των κύριων και βοηθητικών δραστηριοτήτων που είναι συνδεδεμένες με τις θαλάσσιες μεταφορές τα έσοδα των οποίων είναι επιλέξιμα στον φόρο χωρητικότητας του ν. 27/1975 (ΦΕΚ Α΄77)».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των</w:t>
      </w:r>
      <w:r>
        <w:rPr>
          <w:rStyle w:val="link"/>
          <w:b/>
          <w:bCs/>
          <w:lang w:val="el" w:eastAsia="el"/>
        </w:rPr>
        <w:t xml:space="preserve"> άρθρων 1</w:t>
      </w:r>
      <w:r>
        <w:rPr>
          <w:b/>
          <w:bCs/>
          <w:lang w:val="el" w:eastAsia="el"/>
        </w:rPr>
        <w:t>,</w:t>
      </w:r>
      <w:r>
        <w:rPr>
          <w:rStyle w:val="link"/>
          <w:b/>
          <w:bCs/>
          <w:lang w:val="el" w:eastAsia="el"/>
        </w:rPr>
        <w:t xml:space="preserve"> 2</w:t>
      </w:r>
      <w:r>
        <w:rPr>
          <w:rStyle w:val="link"/>
          <w:lang w:val="el" w:eastAsia="el"/>
        </w:rPr>
        <w:t>,</w:t>
      </w:r>
      <w:r>
        <w:rPr>
          <w:b/>
          <w:bCs/>
          <w:lang w:val="el" w:eastAsia="el"/>
        </w:rPr>
        <w:t>26,</w:t>
      </w:r>
      <w:r>
        <w:rPr>
          <w:rStyle w:val="link"/>
          <w:b/>
          <w:bCs/>
          <w:lang w:val="el" w:eastAsia="el"/>
        </w:rPr>
        <w:t xml:space="preserve"> 26α </w:t>
      </w:r>
      <w:r>
        <w:rPr>
          <w:b/>
          <w:bCs/>
          <w:lang w:val="el" w:eastAsia="el"/>
        </w:rPr>
        <w:t>και 28 του ν.</w:t>
      </w:r>
      <w:r>
        <w:rPr>
          <w:rStyle w:val="link"/>
          <w:b/>
          <w:bCs/>
          <w:lang w:val="el" w:eastAsia="el"/>
        </w:rPr>
        <w:t xml:space="preserve"> 27/1975 </w:t>
      </w:r>
      <w:r>
        <w:rPr>
          <w:b/>
          <w:bCs/>
          <w:lang w:val="el" w:eastAsia="el"/>
        </w:rPr>
        <w:t>(ΦΕΚ Α' 77), ως ΦΕΚ, β. των λοιπών διατάξεων του ν. 27/1975 (Α΄ 77),</w:t>
      </w:r>
    </w:p>
    <w:p>
      <w:pPr>
        <w:spacing w:before="240" w:after="240"/>
        <w:rPr>
          <w:lang w:val="el" w:eastAsia="el"/>
        </w:rPr>
      </w:pPr>
      <w:r>
        <w:rPr>
          <w:b/>
          <w:bCs/>
          <w:lang w:val="el" w:eastAsia="el"/>
        </w:rPr>
        <w:t>γ.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άρθρου 41 αυτού.</w:t>
      </w:r>
    </w:p>
    <w:p>
      <w:pPr>
        <w:spacing w:before="240" w:after="240"/>
        <w:rPr>
          <w:lang w:val="el" w:eastAsia="el"/>
        </w:rPr>
      </w:pPr>
      <w:r>
        <w:rPr>
          <w:b/>
          <w:bCs/>
          <w:lang w:val="el" w:eastAsia="el"/>
        </w:rPr>
        <w:t>δ</w:t>
      </w:r>
      <w:r>
        <w:rPr>
          <w:lang w:val="el" w:eastAsia="el"/>
        </w:rPr>
        <w:t xml:space="preserve">. </w:t>
      </w:r>
      <w:r>
        <w:rPr>
          <w:b/>
          <w:bCs/>
          <w:lang w:val="el" w:eastAsia="el"/>
        </w:rPr>
        <w:t>την υπό στοιχεία ΠΟΛ. 1159/2018 «Καθορισμός των βοηθητικών δραστηριοτήτων που είναι συνδεδεμένες με τις θαλάσσιες μεταφορές τα έσοδα των οποίων είναι επιλέξιμα στον φόρο χωρητικότητας του ν. 27/1975 (Α΄77)» (Β’ 3391).</w:t>
      </w:r>
    </w:p>
    <w:p>
      <w:pPr>
        <w:spacing w:before="240" w:after="240"/>
        <w:rPr>
          <w:lang w:val="el" w:eastAsia="el"/>
        </w:rPr>
      </w:pPr>
      <w:r>
        <w:rPr>
          <w:lang w:val="el" w:eastAsia="el"/>
        </w:rPr>
        <w:t xml:space="preserve">2. </w:t>
      </w:r>
      <w:r>
        <w:rPr>
          <w:b/>
          <w:bCs/>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 xml:space="preserve">3. </w:t>
      </w:r>
      <w:r>
        <w:rPr>
          <w:b/>
          <w:bCs/>
          <w:lang w:val="el" w:eastAsia="el"/>
        </w:rPr>
        <w:t>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4.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6. </w:t>
      </w:r>
      <w:r>
        <w:rPr>
          <w:b/>
          <w:bCs/>
          <w:lang w:val="el" w:eastAsia="el"/>
        </w:rPr>
        <w:t>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ως ΦΕΚ, ιδίως το άρθρο 41.</w:t>
      </w:r>
    </w:p>
    <w:p>
      <w:pPr>
        <w:spacing w:before="240" w:after="240"/>
        <w:rPr>
          <w:lang w:val="el" w:eastAsia="el"/>
        </w:rPr>
      </w:pPr>
      <w:r>
        <w:rPr>
          <w:lang w:val="el" w:eastAsia="el"/>
        </w:rPr>
        <w:t xml:space="preserve">7.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Την υπό στοιχεία Δ. ΟΡΓ. Α 1125859 ΕΞ 2020/23.10.2020 απόφαση του Διοικητή της ΑΑΔΕ «Οργανισμός της Ανεξάρτητης Αρχής Δημοσίων Εσόδων (Α.Α.Δ.Ε.)» (Β΄4738), ως ΦΕΚ.</w:t>
      </w:r>
    </w:p>
    <w:p>
      <w:pPr>
        <w:spacing w:before="240" w:after="240"/>
        <w:rPr>
          <w:lang w:val="el" w:eastAsia="el"/>
        </w:rPr>
      </w:pPr>
      <w:r>
        <w:rPr>
          <w:lang w:val="el" w:eastAsia="el"/>
        </w:rPr>
        <w:t xml:space="preserve">9. </w:t>
      </w:r>
      <w:r>
        <w:rPr>
          <w:b/>
          <w:bCs/>
          <w:lang w:val="el" w:eastAsia="el"/>
        </w:rPr>
        <w:t>Την ανάγκη για την εναρμόνιση της φορολογικής νομοθεσίας με τις κατευθυντήριες γραμμές της Ευρωπαϊκής Επιτροπής (Ε.Ε.) για τις θαλάσσιες μεταφορές, ως ΦΕΚ.</w:t>
      </w:r>
    </w:p>
    <w:p>
      <w:pPr>
        <w:spacing w:before="240" w:after="240"/>
        <w:rPr>
          <w:lang w:val="el" w:eastAsia="el"/>
        </w:rPr>
      </w:pPr>
      <w:r>
        <w:rPr>
          <w:lang w:val="el" w:eastAsia="el"/>
        </w:rPr>
        <w:t xml:space="preserve">10.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Τον καθορισμό των κύριων και βοηθητικών δραστηριοτήτων που είναι συνδεδεμένες με τις θαλάσσιες μεταφορές, τα έσοδα των οποίων είναι επιλέξιμα για τον φόρο χωρητικότητας του ν. 27/1975.</w:t>
      </w:r>
    </w:p>
    <w:p>
      <w:pPr>
        <w:spacing w:before="240" w:after="240"/>
        <w:rPr>
          <w:lang w:val="el" w:eastAsia="el"/>
        </w:rPr>
      </w:pPr>
      <w:r>
        <w:rPr>
          <w:lang w:val="el" w:eastAsia="el"/>
        </w:rPr>
        <w:t xml:space="preserve">1. </w:t>
      </w:r>
      <w:r>
        <w:rPr>
          <w:b/>
          <w:bCs/>
          <w:lang w:val="el" w:eastAsia="el"/>
        </w:rPr>
        <w:t>Το ναυτιλιακό εισόδημα που αποκτάται από κύριες δραστηριότητες μιας ναυτιλιακής επιχείρησης και υπάγεται σε φόρο χωρητικότητας του ν. 27/1975, αφορά στα ακόλουθα έσοδα: α) Τα έσοδα από τη μεταφορά επιβατών ή φορτίου με πλοίο.</w:t>
      </w:r>
    </w:p>
    <w:p>
      <w:pPr>
        <w:pStyle w:val="StructureList1"/>
        <w:spacing w:before="120" w:after="0"/>
        <w:rPr>
          <w:lang w:val="el" w:eastAsia="el"/>
        </w:rPr>
      </w:pPr>
      <w:r>
        <w:rPr>
          <w:lang w:val="el" w:eastAsia="el"/>
        </w:rPr>
        <w:t>β)</w:t>
      </w:r>
      <w:r>
        <w:rPr>
          <w:lang w:val="en" w:eastAsia="en"/>
        </w:rPr>
        <w:tab/>
      </w:r>
      <w:r>
        <w:rPr>
          <w:b/>
          <w:bCs/>
          <w:lang w:val="el" w:eastAsia="el"/>
        </w:rPr>
        <w:t>Τα έσοδα από τη μερική ή ολική εκμίσθωση πλοίου πλήρως εξοπλισμένου, επανδρωμένου και εφοδιασμένου από τον πλοιοκτήτη, για την μεταφορά επιβατών ή φορτίου.</w:t>
      </w:r>
    </w:p>
    <w:p>
      <w:pPr>
        <w:pStyle w:val="StructureList1"/>
        <w:spacing w:before="120" w:after="0"/>
        <w:rPr>
          <w:lang w:val="el" w:eastAsia="el"/>
        </w:rPr>
      </w:pPr>
      <w:r>
        <w:rPr>
          <w:lang w:val="el" w:eastAsia="el"/>
        </w:rPr>
        <w:t>γ)</w:t>
      </w:r>
      <w:r>
        <w:rPr>
          <w:lang w:val="en" w:eastAsia="en"/>
        </w:rPr>
        <w:tab/>
      </w:r>
      <w:r>
        <w:rPr>
          <w:b/>
          <w:bCs/>
          <w:lang w:val="el" w:eastAsia="el"/>
        </w:rPr>
        <w:t>Τα έσοδα από συμμετοχή εταιρειών σε μια κοινοπραξία με σκοπό τη μεταφορά επιβατών ή φορτίου με πλοίο.</w:t>
      </w:r>
    </w:p>
    <w:p>
      <w:pPr>
        <w:pStyle w:val="StructureList1"/>
        <w:spacing w:before="120" w:after="0"/>
        <w:rPr>
          <w:lang w:val="el" w:eastAsia="el"/>
        </w:rPr>
      </w:pPr>
      <w:r>
        <w:rPr>
          <w:lang w:val="el" w:eastAsia="el"/>
        </w:rPr>
        <w:t>δ)</w:t>
      </w:r>
      <w:r>
        <w:rPr>
          <w:lang w:val="en" w:eastAsia="en"/>
        </w:rPr>
        <w:tab/>
      </w:r>
      <w:r>
        <w:rPr>
          <w:b/>
          <w:bCs/>
          <w:lang w:val="el" w:eastAsia="el"/>
        </w:rPr>
        <w:t>Η υπεραξία από την πώληση πλοίου υπό τον όρο ότι αυτό είχε αποκτηθεί ενώ υπάγονταν στο φόρο χωρητικότητας και μετά την απόκτησή του το πλοίο χρησιμοποιήθηκε από την ναυτιλιακή εταιρεία σε γνήσιες ναυτιλιακές δραστηριότητες για σκοπούς θαλάσσιων μεταφορών.</w:t>
      </w:r>
    </w:p>
    <w:p>
      <w:pPr>
        <w:spacing w:before="240" w:after="240"/>
        <w:rPr>
          <w:lang w:val="el" w:eastAsia="el"/>
        </w:rPr>
      </w:pPr>
      <w:r>
        <w:rPr>
          <w:b/>
          <w:bCs/>
          <w:lang w:val="el" w:eastAsia="el"/>
        </w:rPr>
        <w:t>Τα αναφερόμενα παραπάνω έχουν ανάλογη εφαρμογή και για τα έσοδα από πλοία που δραστηριοποιούνται εκτός από τις θαλάσσιες μεταφορές εμπορευμάτων και επιβατών και στα εξομοιωμένα πλοία, όπως αυτά που ειδικεύονται στην εξυπηρέτηση υπεράκτιων δραστηριοτήτων, συμπεριλαμβανομένης της μεταφοράς προσωπικού, υλικού και εξοπλισμού, ή στην εκτέλεση δραστηριοτήτων εγκατάστασης και συντήρησης και απαιτεί παρομοίως εξειδικευμένο προσωπικό, καθώς και για τα έσοδα από κάθε γνήσια ναυτιλιακή δραστηριότητα που αποτελεί θαλάσσια μεταφορά κατά την έννοια των κατευθυντήριων γραμμών για τις θαλάσσιες μεταφορές.</w:t>
      </w:r>
    </w:p>
    <w:p>
      <w:pPr>
        <w:spacing w:before="240" w:after="240"/>
        <w:rPr>
          <w:lang w:val="el" w:eastAsia="el"/>
        </w:rPr>
      </w:pPr>
      <w:r>
        <w:rPr>
          <w:b/>
          <w:bCs/>
          <w:lang w:val="el" w:eastAsia="el"/>
        </w:rPr>
        <w:t>Τα έσοδα από την εκμίσθωση πλοίου ως γυμνού σε τρίτη ναυτιλιακή επιχείρηση δεν είναι επιλέξιμα σε φόρο χωρητικότητας για τον εκναυλωτή.</w:t>
      </w:r>
    </w:p>
    <w:p>
      <w:pPr>
        <w:spacing w:before="240" w:after="240"/>
        <w:rPr>
          <w:lang w:val="el" w:eastAsia="el"/>
        </w:rPr>
      </w:pPr>
      <w:r>
        <w:rPr>
          <w:b/>
          <w:bCs/>
          <w:lang w:val="el" w:eastAsia="el"/>
        </w:rPr>
        <w:t>Τα έσοδα των εταιρειών χρηματοδοτικής μίσθωσης πλοίων από την εκμίσθωση αυτών δεν είναι επιλέξιμα σε φόρο χωρητικότητας</w:t>
      </w:r>
    </w:p>
    <w:p>
      <w:pPr>
        <w:spacing w:before="240" w:after="240"/>
        <w:rPr>
          <w:lang w:val="el" w:eastAsia="el"/>
        </w:rPr>
      </w:pPr>
      <w:r>
        <w:rPr>
          <w:lang w:val="el" w:eastAsia="el"/>
        </w:rPr>
        <w:t xml:space="preserve">2. </w:t>
      </w:r>
      <w:r>
        <w:rPr>
          <w:b/>
          <w:bCs/>
          <w:lang w:val="el" w:eastAsia="el"/>
        </w:rPr>
        <w:t>Το ναυτιλιακό εισόδημα που αποκτάται από βοηθητικές δραστηριότητες από μια ναυτιλιακή επιχείρηση και υπάγεται σε φόρο χωρητικότητας του ν. 27/1975, αφορά στα ακόλουθα έσοδα:</w:t>
      </w:r>
    </w:p>
    <w:p>
      <w:pPr>
        <w:pStyle w:val="StructureList1"/>
        <w:spacing w:before="120" w:after="0"/>
        <w:rPr>
          <w:lang w:val="el" w:eastAsia="el"/>
        </w:rPr>
      </w:pPr>
      <w:r>
        <w:rPr>
          <w:lang w:val="el" w:eastAsia="el"/>
        </w:rPr>
        <w:t>α)</w:t>
      </w:r>
      <w:r>
        <w:rPr>
          <w:lang w:val="en" w:eastAsia="en"/>
        </w:rPr>
        <w:tab/>
      </w:r>
      <w:r>
        <w:rPr>
          <w:b/>
          <w:bCs/>
          <w:lang w:val="el" w:eastAsia="el"/>
        </w:rPr>
        <w:t>Τα έσοδα από την εκμίσθωση πλοίου ως γυμνού, σε τρίτη ναυτιλιακή επιχείρηση με την επιφύλαξη των προϋποθέσεων για την υπαγωγή στον φόρο χωρητικότητας των προσώπων που ανήκει η κυριότητα του πλοίου, όπως αυτές δύνανται να οριστούν από την κοινή απόφαση των υπουργών Οικονομικών και Ναυτιλίας και Νησιωτικής Πολιτικής κατ΄ εξουσιοδότηση της παρ. 4α του άρθρου 26β του ν. 27/1975.</w:t>
      </w:r>
    </w:p>
    <w:p>
      <w:pPr>
        <w:pStyle w:val="StructureList1"/>
        <w:spacing w:before="120" w:after="0"/>
        <w:rPr>
          <w:lang w:val="el" w:eastAsia="el"/>
        </w:rPr>
      </w:pPr>
      <w:r>
        <w:rPr>
          <w:lang w:val="el" w:eastAsia="el"/>
        </w:rPr>
        <w:t>β)</w:t>
      </w:r>
      <w:r>
        <w:rPr>
          <w:lang w:val="en" w:eastAsia="en"/>
        </w:rPr>
        <w:tab/>
      </w:r>
      <w:r>
        <w:rPr>
          <w:b/>
          <w:bCs/>
          <w:lang w:val="el" w:eastAsia="el"/>
        </w:rPr>
        <w:t>Τα έσοδα από συμφωνίες ναύλωσης χώρου σε άλλο πλοίο (slot chartering arrangements). γ) Τα έσοδα από πώληση εισιτηρίων που εκδίδονται από άλλες ναυτιλιακές επιχειρήσεις.</w:t>
      </w:r>
    </w:p>
    <w:p>
      <w:pPr>
        <w:pStyle w:val="StructureList1"/>
        <w:spacing w:before="120" w:after="0"/>
        <w:rPr>
          <w:lang w:val="el" w:eastAsia="el"/>
        </w:rPr>
      </w:pPr>
      <w:r>
        <w:rPr>
          <w:lang w:val="el" w:eastAsia="el"/>
        </w:rPr>
        <w:t>δ)</w:t>
      </w:r>
      <w:r>
        <w:rPr>
          <w:lang w:val="en" w:eastAsia="en"/>
        </w:rPr>
        <w:tab/>
      </w:r>
      <w:r>
        <w:rPr>
          <w:b/>
          <w:bCs/>
          <w:lang w:val="el" w:eastAsia="el"/>
        </w:rPr>
        <w:t>Τα έσοδα από μίσθωση και βραχυχρόνια αποθήκευση εμπορευματοκιβωτίων της μετακίνησης εμπορευματοκιβωτίων εντός της περιοχής του λιμένα αμέσως πριν ή αμέσως μετά το ταξίδι από τον ίδιο τον πλοιοκτήτη ή από χρεώσεις κράτησης για καθυστερημένη επιστροφή εμπορευματοκιβωτίων.</w:t>
      </w:r>
    </w:p>
    <w:p>
      <w:pPr>
        <w:pStyle w:val="StructureList1"/>
        <w:spacing w:before="120" w:after="0"/>
        <w:rPr>
          <w:lang w:val="el" w:eastAsia="el"/>
        </w:rPr>
      </w:pPr>
      <w:r>
        <w:rPr>
          <w:lang w:val="el" w:eastAsia="el"/>
        </w:rPr>
        <w:t>ε)</w:t>
      </w:r>
      <w:r>
        <w:rPr>
          <w:lang w:val="en" w:eastAsia="en"/>
        </w:rPr>
        <w:tab/>
      </w:r>
      <w:r>
        <w:rPr>
          <w:b/>
          <w:bCs/>
          <w:lang w:val="el" w:eastAsia="el"/>
        </w:rPr>
        <w:t>Τα έσοδα από παροχή υπηρεσιών σε άλλες ναυτιλιακές επιχειρήσεις από πλοιάρχους, μηχανικούς, προσωπικό IT, προσωπικό συντήρησης, χειριστές φορτίου, προσωπικό εστίασης, προσωπικό εξυπηρέτησης πελατών και άλλες συναφείς με τις παραπάνω θέσεις και ειδικότητες.</w:t>
      </w:r>
    </w:p>
    <w:p>
      <w:pPr>
        <w:pStyle w:val="StructureList1"/>
        <w:spacing w:before="120" w:after="0"/>
        <w:rPr>
          <w:lang w:val="el" w:eastAsia="el"/>
        </w:rPr>
      </w:pPr>
      <w:r>
        <w:rPr>
          <w:lang w:val="el" w:eastAsia="el"/>
        </w:rPr>
        <w:t>στ)</w:t>
      </w:r>
      <w:r>
        <w:rPr>
          <w:lang w:val="en" w:eastAsia="en"/>
        </w:rPr>
        <w:tab/>
      </w:r>
      <w:r>
        <w:rPr>
          <w:b/>
          <w:bCs/>
          <w:lang w:val="el" w:eastAsia="el"/>
        </w:rPr>
        <w:t>Τα έσοδα από επενδύσεις, οι οποίες είναι απαραίτητες για την διασφάλιση της ομαλής δραστηριότητας εκμετάλλευσης των πλοίων.</w:t>
      </w:r>
    </w:p>
    <w:p>
      <w:pPr>
        <w:pStyle w:val="StructureList1"/>
        <w:spacing w:before="120" w:after="0"/>
        <w:rPr>
          <w:lang w:val="el" w:eastAsia="el"/>
        </w:rPr>
      </w:pPr>
      <w:r>
        <w:rPr>
          <w:lang w:val="el" w:eastAsia="el"/>
        </w:rPr>
        <w:t>ζ)</w:t>
      </w:r>
      <w:r>
        <w:rPr>
          <w:lang w:val="en" w:eastAsia="en"/>
        </w:rPr>
        <w:tab/>
      </w:r>
      <w:r>
        <w:rPr>
          <w:b/>
          <w:bCs/>
          <w:lang w:val="el" w:eastAsia="el"/>
        </w:rPr>
        <w:t>Τα έσοδα από όλες τις παρεχόμενες ξενοδοχειακές υπηρεσίες, τις δραστηριότητες εστίασης, ψυχαγωγίας, λιανικού εμπορίου και παροχής υπηρεσιών καλλωπισμού και περιποίησης επιβατών, οι οποίες παρέχονται επάνω στο πλοίο κατά τις θαλάσσιες μεταφορές επιβατών. Αντιθέτως, τα έσοδα από την εκμετάλλευση τυχερών παιχνιδιών, από καζίνο, από την πώληση ειδών πολυτελείας (με εξαίρεση το αλκοόλ, τον καπνό και τα αρώματα) καθώς και από εκδρομές στην ξηρά δεν είναι επιλέξιμα στον φόρο χωρητικότητας.</w:t>
      </w:r>
    </w:p>
    <w:p>
      <w:pPr>
        <w:pStyle w:val="StructureList1"/>
        <w:spacing w:before="120" w:after="0"/>
        <w:rPr>
          <w:lang w:val="el" w:eastAsia="el"/>
        </w:rPr>
      </w:pPr>
      <w:r>
        <w:rPr>
          <w:lang w:val="el" w:eastAsia="el"/>
        </w:rPr>
        <w:t>η)</w:t>
      </w:r>
      <w:r>
        <w:rPr>
          <w:lang w:val="en" w:eastAsia="en"/>
        </w:rPr>
        <w:tab/>
      </w:r>
      <w:r>
        <w:rPr>
          <w:b/>
          <w:bCs/>
          <w:lang w:val="el" w:eastAsia="el"/>
        </w:rPr>
        <w:t>Τα έσοδα από έκδοση εισιτηρίων και τερματικών σταθμών επιβατών, οι οποίες συνδέονται αποκλειστικά με τις ναυτιλιακές δραστηριότητές του που υπόκεινται σε φόρο χωρητικότητας.</w:t>
      </w:r>
    </w:p>
    <w:p>
      <w:pPr>
        <w:spacing w:before="240" w:after="240"/>
        <w:rPr>
          <w:lang w:val="el" w:eastAsia="el"/>
        </w:rPr>
      </w:pPr>
      <w:r>
        <w:rPr>
          <w:lang w:val="el" w:eastAsia="el"/>
        </w:rPr>
        <w:t xml:space="preserve">3. </w:t>
      </w:r>
      <w:r>
        <w:rPr>
          <w:b/>
          <w:bCs/>
          <w:lang w:val="el" w:eastAsia="el"/>
        </w:rPr>
        <w:t>Στο βαθμό που το ναυτιλιακό εισόδημα από βοηθητικές δραστηριότητες υπερβαίνει το 50% του συνολικού ναυτιλιακού εισοδήματος της ναυτιλιακής επιχείρησης (από κύριες και βοηθητικές δραστηριότητες), το υπερβάλλον εισόδημα δεν είναι επιλέξιμο στον φόρο χωρητικότητας.</w:t>
      </w:r>
    </w:p>
    <w:p>
      <w:pPr>
        <w:spacing w:before="240" w:after="240"/>
        <w:rPr>
          <w:lang w:val="el" w:eastAsia="el"/>
        </w:rPr>
      </w:pPr>
      <w:r>
        <w:rPr>
          <w:lang w:val="el" w:eastAsia="el"/>
        </w:rPr>
        <w:t xml:space="preserve">4. </w:t>
      </w:r>
      <w:r>
        <w:rPr>
          <w:b/>
          <w:bCs/>
          <w:lang w:val="el" w:eastAsia="el"/>
        </w:rPr>
        <w:t>Τα έσοδα από την εκμετάλλευση των ρυμουλκών και αυτοκινούμενων βυθοκόρων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καθώς και τα έσοδα από την εκμετάλλευση αλιευτικών πλοίων δεν είναι επιλέξιμα σε φόρο χωρητικότητας.</w:t>
      </w:r>
    </w:p>
    <w:p>
      <w:pPr>
        <w:spacing w:before="240" w:after="240"/>
        <w:rPr>
          <w:lang w:val="el" w:eastAsia="el"/>
        </w:rPr>
      </w:pPr>
      <w:r>
        <w:rPr>
          <w:lang w:val="el" w:eastAsia="el"/>
        </w:rPr>
        <w:t xml:space="preserve">5. </w:t>
      </w:r>
      <w:r>
        <w:rPr>
          <w:b/>
          <w:bCs/>
          <w:lang w:val="el" w:eastAsia="el"/>
        </w:rPr>
        <w:t>Μετά την έκδοση της παρούσης, κάθε άλλη κανονιστική διάταξη με αντίθετο περιεχόμενο παύει να ισχύει.</w:t>
      </w:r>
    </w:p>
    <w:p>
      <w:pPr>
        <w:spacing w:before="240" w:after="240"/>
        <w:rPr>
          <w:lang w:val="el" w:eastAsia="el"/>
        </w:rPr>
      </w:pPr>
      <w:r>
        <w:rPr>
          <w:lang w:val="el" w:eastAsia="el"/>
        </w:rPr>
        <w:t xml:space="preserve">6. </w:t>
      </w:r>
      <w:r>
        <w:rPr>
          <w:b/>
          <w:bCs/>
          <w:lang w:val="el" w:eastAsia="el"/>
        </w:rPr>
        <w:t>Η απόφαση αυτή ισχύει από την δημοσίευση της.</w:t>
      </w:r>
    </w:p>
    <w:p>
      <w:pPr>
        <w:spacing w:before="240" w:after="240"/>
        <w:rPr>
          <w:lang w:val="el" w:eastAsia="el"/>
        </w:rPr>
      </w:pPr>
      <w:r>
        <w:rPr>
          <w:lang w:val="el" w:eastAsia="el"/>
        </w:rPr>
        <w:t xml:space="preserve">7. </w:t>
      </w: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Δ/νση ΣΔΟΕ Αττικής – Επιχειρησιακή Δ/νση ΣΔΟΕ Μακεδονίας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 Γραμ.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Υπουργείο Ναυτιλίας και Νησιωτικής Πολιτικής</w:t>
      </w:r>
    </w:p>
    <w:p>
      <w:pPr>
        <w:spacing w:before="240" w:after="240"/>
        <w:rPr>
          <w:lang w:val="el" w:eastAsia="el"/>
        </w:rPr>
      </w:pPr>
      <w:r>
        <w:rPr>
          <w:lang w:val="el" w:eastAsia="el"/>
        </w:rPr>
        <w:t xml:space="preserve">5. </w:t>
      </w:r>
      <w:r>
        <w:rPr>
          <w:b/>
          <w:bCs/>
          <w:lang w:val="el" w:eastAsia="el"/>
        </w:rPr>
        <w:t>Αποδέκτες πίνακα Η΄ (εκτός 4,10 και 11)</w:t>
      </w:r>
    </w:p>
    <w:p>
      <w:pPr>
        <w:spacing w:before="240" w:after="240"/>
        <w:rPr>
          <w:lang w:val="el" w:eastAsia="el"/>
        </w:rPr>
      </w:pPr>
      <w:r>
        <w:rPr>
          <w:lang w:val="el" w:eastAsia="el"/>
        </w:rPr>
        <w:t xml:space="preserve">6. </w:t>
      </w:r>
      <w:r>
        <w:rPr>
          <w:b/>
          <w:bCs/>
          <w:lang w:val="el" w:eastAsia="el"/>
        </w:rPr>
        <w:t>Αποδέκτες πίνακα ΙΒ΄(5 και 7)</w:t>
      </w:r>
    </w:p>
    <w:p>
      <w:pPr>
        <w:spacing w:before="240" w:after="240"/>
        <w:rPr>
          <w:lang w:val="el" w:eastAsia="el"/>
        </w:rPr>
      </w:pPr>
      <w:r>
        <w:rPr>
          <w:lang w:val="el" w:eastAsia="el"/>
        </w:rPr>
        <w:t xml:space="preserve">7. </w:t>
      </w:r>
      <w:r>
        <w:rPr>
          <w:b/>
          <w:bCs/>
          <w:lang w:val="el" w:eastAsia="el"/>
        </w:rPr>
        <w:t>Αποδέκτες πίνακα ΚΓ΄</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Φορολογίας</w:t>
      </w:r>
    </w:p>
    <w:p>
      <w:pPr>
        <w:spacing w:before="240" w:after="240"/>
        <w:rPr>
          <w:lang w:val="el" w:eastAsia="el"/>
        </w:rPr>
      </w:pPr>
      <w:r>
        <w:rPr>
          <w:lang w:val="el" w:eastAsia="el"/>
        </w:rPr>
        <w:t xml:space="preserve">3. </w:t>
      </w:r>
      <w:r>
        <w:rPr>
          <w:b/>
          <w:bCs/>
          <w:lang w:val="el" w:eastAsia="el"/>
        </w:rPr>
        <w:t>Γραφεία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Προϊσταμένου Διεύθυνσης Άμεσης Φορολογίας</w:t>
      </w:r>
    </w:p>
    <w:p>
      <w:pPr>
        <w:spacing w:before="240" w:after="240"/>
        <w:rPr>
          <w:lang w:val="el" w:eastAsia="el"/>
        </w:rPr>
      </w:pPr>
      <w:r>
        <w:rPr>
          <w:lang w:val="el" w:eastAsia="el"/>
        </w:rPr>
        <w:t xml:space="preserve">7. </w:t>
      </w:r>
      <w:r>
        <w:rPr>
          <w:b/>
          <w:bCs/>
          <w:lang w:val="el" w:eastAsia="el"/>
        </w:rPr>
        <w:t>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