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40953 ΕΞ 2023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υπό στοιχεία 67360 ΕΞ 2021 απόφασης των Υπουργών Οικονομικών-Ανάπτυξης και Επενδύσεων- Εργασίας και Κοινωνικών Υποθέσεων «Ρύθμιση τεχνικών και λεπτομερειακών θεμάτων της διαδικασίας διαπραγμάτευσης στο πλαίσιο του εξωδικαστικού μηχανισμού του Κεφαλαίου Α’ του Μέρους Δευτέρου του Βιβλίου πρώτου ν. 4738/2020 (Α’ 207)» (Β’ 2499).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 ΟΙΚΟΝΟΜΙΚΩΝ -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ΑΝΑΠΤΥΞΗΣ ΚΑΙ ΕΠΕΝΔΥΣΕΩΝ - ΕΡΓΑΣΙΑΣ ΚΑΙ ΚΟΙΝΩΝΙΚΩΝ ΥΠΟΘΕΣΕΩΝ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Την υπό στοιχεία 67360 ΕΞ 2021 απόφαση των Υπουργών Οικονομικών - Ανάπτυξης και Επενδύσεων - Εργασίας και Κοινωνικών Υποθέσεων «Ρύθμιση τεχνικών και λεπτομερειακών θεμάτων της διαδικασίας διαπραγμάτευσης στο πλαίσιοτου εξωδικαστικού μηχανισμού του Κεφαλαίου Α’ του Μέρους Δευτέρου του Βιβλίου πρώτου ν. 4738/2020 (Α’ 207)» (Β’ 2499).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παρ. 2 του άρθρου 71 του ν. 4738/2020 «Ρύθμιση οφειλών και παροχή δεύτερης ευκαιρίας και άλλες διατάξεις» (Α’ 207).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 διαδικασία που ορίζεται στο Κεφάλαιο Α’ του Δεύτερου Μέρους του Πρώτου Βιβλίου (άρθρα 5-30) του ν. 4738/2020 «Ρύθμιση οφειλών και παροχή δεύτερης ευκαιρίας και άλλες διατάξεις» (Α’ 207).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άρθρο 90 του Κώδικα Νομοθεσίας για την Κυβέρνηση και τα κυβερνητικά όργανα (π.δ. 63/2005, Α’ 98) το οποίο διατηρήθηκε σε ισχύ με την παρ. 22 του άρθρου 119 του ν. 4622/2019 (Α’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π.δ. 81/2019 «Σύσταση, συγχώνευση και μετονομασία Υπουργείων και καθορισμός των αρμοδιοτήτων τους - Μεταφορά υπηρεσιών και αρμοδιοτήτων μεταξύ Υπουργείων» (Α’ 119).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π.δ. 83/2019 «Διορισμός Υπουργών, Αναπληρωτών Υπουργών και Υφυπουργών» (Α’ 121).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π.δ. 2/2021 «Διορισμός Υπουργών, Αναπληρωτών Υπουργών και Υφυπουργών» (Α’ 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π.δ. 142/2017 «Οργανισμός Υπουργείου Οικονομικών» (Α’ 181).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π.δ. 5/2022 «Οργανισμός Υπουργείου Ανάπτυξης και Επενδύσεων» (Α’ 15).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π.δ. 134/2017 «Οργανισμός Υπουργείου Εργασίας, Κοινωνικής Ασφάλισης και Κοινωνικής Αλληλεγγύης» (Α’ 68).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Τον ν. 4270/2014 «Αρχές δημοσιονομικής διαχείρισης και εποπτείας (ενσωμάτωση της Οδηγίας 2011/85/ ΕΕ) - δημόσιο λογιστικό και άλλες διατάξεις» (Α’ 143).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Τον ν. 4727/2020 «Ψηφιακή Διακυβέρνηση (Ενσωμάτωση στην Ελληνική Νομοθεσία της Οδηγίας (ΕΕ) 2016/2102 και της Οδηγίας (ΕΕ) 2019/1024) - Ηλεκτρονικές Επικοινωνίες (Ενσωμάτωση στο Ελληνικό Δίκαιο της Οδηγίας (ΕΕ) 2018/1972) και άλλες διατάξεις» (Α’ 184).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Το γεγονός ότι από τις διατάξεις της παρούσας απόφασης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Στο άρθρο 3 της υπό στοιχεία 67360 ΕΞ 2021 (Β’ 2499) κοινής υπουργικής απόφασης προστίθεται παρ. 4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«Αίτηση που δεν έχει οριστικοποιηθεί σε διάστημα 90 ημερών από τη δημιουργία της και δεν εκκρεμεί αίτημα συμπλήρωσης ή διόρθωσης σύμφωνα με τα οριζόμενα στα άρθρα 2 και 3 της παρούσας ακυρώνεται αυτομάτως από την Ηλεκτρονική Πλατφόρμα Εξωδικαστικού Μηχανισμού Ρύθμισης Οφειλών του άρθρου 29 του ν. 4738/2020 και θεωρείται μη υποβληθείσα. Η αυτόματη ακύρωση της αίτησης συνεπάγεται την απώλεια των εγγράφων και στοιχείων που εισήγαγε ο αιτών, τα οποία δεν τηρούνται στην Ηλεκτρονική Πλατφόρμα, καθώς και του μοναδικού αριθμού που έχει λάβει η αίτηση, ο οποίος παύει να συνοδεύει την αίτηση σε περίπτωση επανυποβολής αυτής».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παρ. 3 του άρθρου 8Α αντικαθίσταται ως εξής: «3. Βασική παράμετρος για την προεξόφληση των ροών της μηνιαίας ικανότητας αποπληρωμής του οφειλέτη, και κατ’ επέκταση την εύρεση της τελικής ΜΔΑΧΟ, είναι το προεξοφλητικό επιτόκιο που χρησιμοποιεί η αυτοματοποιημένη λύση, ήτοι επιτόκιο ίσο με δύο (2%) εκατοστιαίες μονάδες και 0,85, το οποίο είναι σταθερό και υπολογίζεται ετησίως: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Προεξοφλητικό Επιτόκιο = 2,85 %».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Στην περ. βα) του στοιχείου ii του άρθρου 8Β αντικαθίστανται οι λέξεις «δέκα χιλιάδων ευρώ (10.000)» από τις λέξεις «πενήντα χιλιάδων ευρώ (50.000)», ώστε η περ. βα) του στοιχείου ii του άρθρου 8Β να διαμορφώνεται ως εξής: «βα) Για τα κινητά μικρής αξίας, ήτοι εκτιμώμενης αξίας μικρότερης των πενήντα χιλιάδων ευρώ (50.000) λογίζεται ως αξία η εμπορική αξία που δηλώνεται στην αίτηση του οφειλέτη».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Στην περ. ββ) του στοιχείου ii του άρθρου 8Β αντικαθίστανται στο πρώτο εδάφιο αυτής οι λέξεις «δέκα χιλιάδων ευρώ (10.000)» από τις λέξεις «πενήντα χιλιάδων ευρώ (50.000)», ώστε η περ. ββ) του στοιχείου ii του άρθρου 8Β να διαμορφώνεται ως εξής: «ββ) Για τα κινητά μεγάλης αξίας, ήτοι εκτιμώμενης αξίας πενήντα χιλιάδων ευρώ (50.000) και άνω λογίζεται ως αξία κατά σειρά προτεραιότητας: (i) η αξία που προκύπτει από πρόσφατη έκθεση πιστοποιημένου εκτιμητή της παρ. Γ του άρθρου πρώτου του ν. 4152/2013 (Α’ 107). Πρόσφατη έκθεση είναι αυτή που έχει συνταχθεί εντός των τελευταίων δώδεκα μηνών πριν από την υποβολή της αίτησης υπαγωγής στην εξωδικαστική διαδικασία ρύθμισης οφειλών,(ii) η εμπορική αξία που προκύπτει από τα βιβλία του χρηματοδοτικού ιδρύματος που έχει εγγράψει εμπράγματη ασφάλεια επί του περιουσιακού στοιχείου, και (iii) η ασφαλιστέα αξία, όπως αναφέρεται σε εν ισχύ ασφαλιστική σύμβαση, εφόσον υπάρχει και προσκομίζεται με την αίτηση. Ο οφειλέτης υποχρεούται να διασφαλίσει ότι τουλάχιστον μία από τις ανωτέρω αξίες υφίσταται».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Η περ. β) της παρ. 2 του άρθρου 8Δ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«β) Το επιτόκιο ρύθμισης που χρησιμοποιεί η αυτοματοποιημένη λύση εξαρτάται από το είδος της οφειλής: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i) για τις οφειλές προς το Δημόσιο και τους Φορείς Κοινωνικής Ασφάλισης λαμβάνεται υπόψη επιτόκιο ίσο με το σταθερό επιτόκιο τρία τοις εκατό (3%).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ii) για τους χρηματοδοτικούς φορείς λαμβάνεται υπόψη επιτόκιο: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 για τις εξασφαλισμένες οφειλές ίσο με το επιτόκιο Εuribor τριμήνου, προσαυξημένο κατά δύο και 0,50 (2,50) εκατοστιαίες μονάδες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για τις ανεξασφάλιστες οφειλές ίσο με το επιτόκιο Εuribor τριμήνου, προσαυξημένο κατά τρείς (3) εκατοστιαίες μονάδες.».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απόφαση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Άγιος Ιωάννης Ρέντης, 14 Μαρτίου 2023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Οικονομικών Ανάπτυξης και Επενδύσεων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ΧΡΗΣΤΟΣ ΣΠΥΡΙ∆ΩΝ-Α∆ΩΝΙΣ ΣΤΑΪΚΟΥΡΑΣ ΓΕΩΡΓΙΑ∆ΗΣ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Εργασίας και Κοινωνικών Υποθέσεων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ΚΩΝΣΤΑΝΤΙΝΟΣ ΧΑΤΖΗ∆ΑΚΗΣ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