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40992 ΕΞ 2023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Τροποποίηση της υπό στοιχεία 66468 ΕΞ 2021 απόφασης των Υπουργών Οικονομικών - Εργασίας και Κοινωνικών Υποθέσεων «Διαδικασία επιβεβαίωσης της βιωσιμότητας ή φερεγγυότητας του οφειλέτη, κατά περίπτωση, και διαδικασίας κατάρτισης της διμερούς σύμβασης αναδιάρθρωσης» (Β’ 2484).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 ΥΠΟΥΡΓΟΙ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ΟΙΚΟΝΟΜΙΚΩΝ -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ΕΡΓΑΣΙΑΣ ΚΑΙ ΚΟΙΝΩΝΙΚΩΝ ΥΠΟΘΕΣΕΩΝ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Τον ν. 4738/2020 «Ρύθμιση οφειλών και παροχή δεύτερης ευκαιρίας και άλλες διατάξεις» (Α’ 207).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Την υπό στοιχεία 66468 ΕΞ 2021 απόφαση των Υπουργών Οικονομικών - Εργασίας και Κοινωνικών Υποθέσεων «Διαδικασία επιβεβαίωσης της βιωσιμότητας ή φερεγγυότητας του οφειλέτη, κατά περίπτωση, και διαδικασίας κατάρτισης της διμερούς σύμβασης αναδιάρθρωσης» (Β’ 2484).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Την παρ. 3 του άρθρου 71 του ν. 4738/2020 «Ρύθμιση οφειλών και παροχή δεύτερης ευκαιρίας και άλλες διατάξεις» (Α’ 207).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Τη διαδικασία που ορίζεται στο Κεφάλαιο Α’ του Δεύτερου Μέρους του Πρώτου Βιβλίου (άρθρα 5-30) του ν. 4738/2020 «Ρύθμιση οφειλών και παροχή δεύτερης ευκαιρίας και άλλες διατάξεις» (Α’ 207).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Το άρθρο 90 του Κώδικα Νομοθεσίας για την Κυβέρνηση και τα κυβερνητικά όργανα (π.δ. 63/2005, Α’ 98) το οποίο διατηρήθηκε σε ισχύ με την παρ. 22 του άρθρου 119 του ν. 4622/2019 (Α’ 133).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Το π.δ. 81/2019 «Σύσταση, συγχώνευση και μετονομασία Υπουργείων και καθορισμός των αρμοδιοτήτων τους - Μεταφορά υπηρεσιών και αρμοδιοτήτων μεταξύ Υπουργείων» (Α’ 119).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Το π.δ. 83/2019 «Διορισμός Υπουργών, Αναπληρωτών Υπουργών και Υφυπουργών» (Α’ 121).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Το π.δ. 2/2021 «Διορισμός Υπουργών, Αναπληρωτών Υπουργών και Υφυπουργών» (Α’ 2).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Το π.δ. 142/2017 «Οργανισμός Υπουργείου Οικονομικών» (Α’ 181).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Το π.δ. 134/2017 «Οργανισμός Υπουργείου Εργασίας, Κοινωνικής Ασφάλισης και Κοινωνικής Αλληλεγγύης» (Α’ 68).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Τον ν. 4270/2014 «Αρχές δημοσιονομικής διαχείρισης και εποπτείας (ενσωμάτωση της Οδηγίας 2011/85/ ΕΕ) - δημόσιο λογιστικό και άλλες διατάξεις» (Α’ 143).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Τον ν. 4727/2020 «Ψηφιακή Διακυβέρνηση (Ενσωμάτωση στην Ελληνική Νομοθεσία της Οδηγίας (ΕΕ) 2016/2102 και της Οδηγίας (ΕΕ) 2019/1024) - Ηλεκτρονικές Επικοινωνίες (Ενσωμάτωση στο Ελληνικό Δίκαιο της Οδηγίας (ΕΕ) 2018/1972) και άλλες διατάξεις» (Α’ 184).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13. Το γεγονός ότι από τις διατάξεις της παρούσας απόφασης δεν προκαλείται δαπάνη σε βάρος του κρατικού προϋπολογισμού, 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Διαγράφουμε το στοιχείο ii. της περ. α’ της παρ. 1 του άρθρου 2 και τροποποιούμε το στοιχείο iii. της περ. α’ της παρ. 1 του άρθρου 2 ως εξής: «ii. η διαδικασία εξωδικαστικής ρύθμισης των οφειλών του αιτούντος σύμφωνα με τις διατάξεις του ν. 4738/2020 περατώθηκε ως άκαρπη λόγω απόρριψης της αίτησης του οφειλέτη». Η παρ. 1 του άρθρου 2 διαμορφώνεται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«Στη διαδικασία της παρούσας απόφασης δύναται να ενταχθεί οφειλέτης ο οποίος, μετά την ολοκλήρωση υποβολής της αίτησης, σύμφωνα με την παράγραφο 1 του άρθρου 8 και τα άρθρα 9 και 10 του ν. 4738/2020 (Α’ 207), διαπιστώνεται από την ηλεκτρονική πλατφόρμα ότι: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α) i. έχει οφειλές προς το Δημόσιο ή/και σε Φορείς Κοινωνικής Ασφάλισης και δεν έχει οφειλές σε χρηματοδοτικούς φορείς ή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ii. η διαδικασία εξωδικαστικής ρύθμισης των οφειλών του αιτούντος σύμφωνα με τις διατάξεις του ν. 4738/2020 περατώθηκε ως άκαρπη λόγω απόρριψης της αίτησης του οφειλέτη και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β) το σύνολο των οφειλών του προς το Δημόσιο, ή και τους Φορείς Κοινωνικής Ασφάλισης και τους χρηματοδοτικούς φορείς κατά περίπτωση, υπερβαίνει το ποσό των δέκα χιλιάδων (10.000) ευρώ ανά πιστωτή».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Τροποποιούμε το δεύτερο εδάφιο της παρ. 3 του άρθρου 3 αντικαθιστώντας τη φράση «το επιτόκιο euribor τριμήνου, προσαυξημένο κατά πέντε (5) εκατοστιαίες μονάδες» με τη φράση «τρία τοις εκατό (3%)», και το δεύτερο εδάφιο της παρ. 3 του άρθρου 3 διαμορφώνεται ως εξής: «Για τον υπολογισμό των τοκοχρεωλυτικών δόσεων λαμβάνεται υπόψη επιτόκιο ίσο με τρία τοις εκατό (3%), το οποίο είναι σταθερό, και υπολογίζεται ετησίως».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Η παρ. 6 του άρθρου 9 διαμορφώνεται ως εξής: «6. Σε περίπτωση ολικής προεξόφλησης της ρύθμισης, με καταβολή από τον οφειλέτη ή συμψηφισμό ή από απόδοση κατασχέσεων ή από παρακράτηση, χορηγείται έκπτωση στο σύνολο των τόκων καταβολής που έχουν υπολογιστεί και αντιστοιχούν στον υπολειπόμενο αριθμό δόσεων της ρύθμισης».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παρούσα απόφαση ισχύει από τη δημοσίευσή της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Άγιος Ιωάννης Ρέντης, 14 Μαρτίου 2023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Υπουργοί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Εργασίας και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