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ΑΔΑ: ΩΧΜΔ46ΜΠ3Ζ-0Δ8</w:t>
      </w:r>
    </w:p>
    <w:p>
      <w:pPr>
        <w:pStyle w:val="PreambelText"/>
        <w:spacing w:before="240" w:after="240"/>
        <w:rPr>
          <w:lang w:val="el" w:eastAsia="el"/>
        </w:rPr>
      </w:pPr>
      <w:r>
        <w:rPr>
          <w:b/>
          <w:bCs/>
          <w:lang w:val="el" w:eastAsia="el"/>
        </w:rPr>
        <w:t>Φ.Ε.Κ.: B΄1674/18.3.2023</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Αθήνα, 17 Μαρτίου 2023</w:t>
      </w:r>
    </w:p>
    <w:p>
      <w:pPr>
        <w:pStyle w:val="PreambelText"/>
        <w:spacing w:before="240" w:after="240"/>
        <w:rPr>
          <w:lang w:val="el" w:eastAsia="el"/>
        </w:rPr>
      </w:pPr>
      <w:r>
        <w:rPr>
          <w:b/>
          <w:bCs/>
          <w:lang w:val="el" w:eastAsia="el"/>
        </w:rPr>
        <w:t>ΓΕΝΙΚΗ Δ/ΝΣΗ ΦΟΡΟΛΟΓΙΑΣ (Γ.Δ.Φ.)</w:t>
      </w:r>
    </w:p>
    <w:p>
      <w:pPr>
        <w:pStyle w:val="PreambelText"/>
        <w:spacing w:before="240" w:after="240"/>
        <w:rPr>
          <w:lang w:val="el" w:eastAsia="el"/>
        </w:rPr>
      </w:pPr>
      <w:r>
        <w:rPr>
          <w:b/>
          <w:bCs/>
          <w:lang w:val="el" w:eastAsia="el"/>
        </w:rPr>
        <w:t>ΔΙΕΥΘΥΝΣΗ ΕΛΕΓΚΤΙΚΩΝ ΔΙΑΔΙΚΑΣΙΩΝ (ΔΙ.ΕΛ.ΔΙ.)</w:t>
      </w:r>
    </w:p>
    <w:p>
      <w:pPr>
        <w:pStyle w:val="PreambelText"/>
        <w:spacing w:before="240" w:after="240"/>
        <w:rPr>
          <w:lang w:val="el" w:eastAsia="el"/>
        </w:rPr>
      </w:pPr>
      <w:r>
        <w:rPr>
          <w:b/>
          <w:bCs/>
          <w:lang w:val="el" w:eastAsia="el"/>
        </w:rPr>
        <w:t>ΘΕΜΑ: «Τροποποίηση της υπό στοιχεία Α.1166/16.7.2021 κοινής απόφασης του Υφυπουργού Οικονομικών και του Διοικητή της Ανεξάρτητης Αρχής Δημοσίων Εσόδων (ΑΑΔΕ) «Προσδιορισμός κατηγοριών υπόχρεων για την επιβολή της ειδικής χρηματικής κύρωσης της παρ. 8 του άρθρου 13 Α του ν.2523/1997, του είδους του φορολογικού ελέγχου στο πλαίσιο του οποίου επιβάλλεται το μέτρο της αναστολής λειτουργίας επαγγελματικής εγκατάστασης, το ειδικό πρόστιμο, η ειδική χρηματική κύρωση και κάθε ειδικότερου θέματος» (Β΄3193)».</w:t>
      </w:r>
    </w:p>
    <w:p>
      <w:pPr>
        <w:pStyle w:val="enacting"/>
        <w:spacing w:before="120" w:after="0"/>
        <w:rPr>
          <w:lang w:val="el" w:eastAsia="el"/>
        </w:rPr>
      </w:pPr>
      <w:r>
        <w:rPr>
          <w:b/>
          <w:bCs/>
          <w:lang w:val="el" w:eastAsia="el"/>
        </w:rPr>
        <w:t>ΑΠΟΦΑΣΗΟ ΥΦΥΠΟΥΡΓΟΣ ΟΙΚΟΝΟΜΙΚΩΝ ΚΑΙ Ο ΔΙΟΙΚΗΤΗΣ ΤΗΣ ΑΝΕΞΑΡΤΗΤΗΣ ΑΡΧΗΣΔΗΜΟΣΙΩΝ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 :</w:t>
      </w:r>
    </w:p>
    <w:p>
      <w:pPr>
        <w:pStyle w:val="StructureList1"/>
        <w:spacing w:before="120" w:after="0"/>
        <w:rPr>
          <w:lang w:val="el" w:eastAsia="el"/>
        </w:rPr>
      </w:pPr>
      <w:r>
        <w:rPr>
          <w:lang w:val="el" w:eastAsia="el"/>
        </w:rPr>
        <w:t>α)</w:t>
      </w:r>
      <w:r>
        <w:rPr>
          <w:lang w:val="en" w:eastAsia="en"/>
        </w:rPr>
        <w:tab/>
      </w:r>
      <w:r>
        <w:rPr>
          <w:b/>
          <w:bCs/>
          <w:lang w:val="el" w:eastAsia="el"/>
        </w:rPr>
        <w:t>του άρθρου 13Α του ν.2523/1997 «Διοικητικές και ποινικές κυρώσεις στη φορολογική νομοθεσία και άλλες διατάξεις» (Α΄ 179) και ειδικότερα της περ. α΄ της παρ. 13 αυτού, β) του ν.4987/2022 «Κύρωση Κώδικα Φορολογικής Διαδικασίας» (Α' 206) και ιδίως των άρθρων 4, 25, 28, 37, 54ΣΤ, 54Η, 62, 63 και της παρ. 5 του άρθρου 66 αυτού,</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των άρθρων 1,2,7,13,14,17,19 και 41 αυτού.</w:t>
      </w:r>
    </w:p>
    <w:p>
      <w:pPr>
        <w:pStyle w:val="PreambelText"/>
        <w:spacing w:before="240" w:after="240"/>
        <w:rPr>
          <w:lang w:val="el" w:eastAsia="el"/>
        </w:rPr>
      </w:pPr>
      <w:r>
        <w:rPr>
          <w:lang w:val="el" w:eastAsia="el"/>
        </w:rPr>
        <w:t xml:space="preserve">2. </w:t>
      </w:r>
      <w:r>
        <w:rPr>
          <w:b/>
          <w:bCs/>
          <w:lang w:val="el" w:eastAsia="el"/>
        </w:rPr>
        <w:t>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 xml:space="preserve">3. </w:t>
      </w:r>
      <w:r>
        <w:rPr>
          <w:b/>
          <w:bCs/>
          <w:lang w:val="el" w:eastAsia="el"/>
        </w:rPr>
        <w:t>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 xml:space="preserve">4. </w:t>
      </w:r>
      <w:r>
        <w:rPr>
          <w:b/>
          <w:bCs/>
          <w:lang w:val="el" w:eastAsia="el"/>
        </w:rPr>
        <w:t>Την υπ’ αρ.339/18.7.2019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6.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7. </w:t>
      </w:r>
      <w:r>
        <w:rPr>
          <w:b/>
          <w:bCs/>
          <w:lang w:val="el" w:eastAsia="el"/>
        </w:rPr>
        <w:t>Την υπό στοιχεία Α.1166/16.7.2021 κοινή απόφαση του Υφυπουργού Οικονομικών και του Διοικητή της Ανεξάρτητης Αρχής Δημοσίων Εσόδων (ΑΑΔΕ) «Προσδιορισμός κατηγοριών υπόχρεων για την επιβολή της ειδικής χρηματικής κύρωσης της παρ. 8 του άρθρου 13 Α του ν.2523/1997, του είδους του φορολογικού ελέγχου στο πλαίσιο του οποίου επιβάλλεται το μέτρο της αναστολής λειτουργίας επαγγελματικής εγκατάστασης, το ειδικό πρόστιμο, η ειδική χρηματική κύρωση και κάθε ειδικότερου θέματος» (Β΄3193).</w:t>
      </w:r>
    </w:p>
    <w:p>
      <w:pPr>
        <w:pStyle w:val="PreambelText"/>
        <w:spacing w:before="240" w:after="240"/>
        <w:rPr>
          <w:lang w:val="el" w:eastAsia="el"/>
        </w:rPr>
      </w:pPr>
      <w:r>
        <w:rPr>
          <w:lang w:val="el" w:eastAsia="el"/>
        </w:rPr>
        <w:t xml:space="preserve">8. </w:t>
      </w:r>
      <w:r>
        <w:rPr>
          <w:b/>
          <w:bCs/>
          <w:lang w:val="el" w:eastAsia="el"/>
        </w:rPr>
        <w:t>Την υπό στοιχεία Α.1169/21.7.2021 απόφαση του Διοικητή της Ανεξάρτητης Αρχής Δημοσίων Εσόδων (ΑΑΔΕ) «Καθορισμός του τρόπου, των διαδικασιών και των οργάνων για την εφαρμογή του άρθρου 13A του ν.2523/1997,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 (Β΄ 3294).</w:t>
      </w:r>
    </w:p>
    <w:p>
      <w:pPr>
        <w:pStyle w:val="PreambelText"/>
        <w:spacing w:before="240" w:after="240"/>
        <w:rPr>
          <w:lang w:val="el" w:eastAsia="el"/>
        </w:rPr>
      </w:pPr>
      <w:r>
        <w:rPr>
          <w:lang w:val="el" w:eastAsia="el"/>
        </w:rPr>
        <w:t xml:space="preserve">9. </w:t>
      </w:r>
      <w:r>
        <w:rPr>
          <w:b/>
          <w:bCs/>
          <w:lang w:val="el" w:eastAsia="el"/>
        </w:rPr>
        <w:t>Την υπό στοιχεία Α.1157/04.11.2022 κοινή απόφαση του Υφυπουργού Οικονομικών και του Διοικητή της Ανεξάρτητης Αρχής Δημοσίων Εσόδων (ΑΑΔΕ) «Διαδικασία επιβολής κυρώσεων, σύμφωνα με το άρθρο 54Η του Κώδικα Φορολογικής Διαδικασίας (Κ.Φ.Δ.) και του άρθρου 13 Α του ν.2523/1997, κατά την πρώτη εφαρμογή των διατάξεων αυτών» (Β΄5651).</w:t>
      </w:r>
    </w:p>
    <w:p>
      <w:pPr>
        <w:pStyle w:val="PreambelText"/>
        <w:spacing w:before="240" w:after="240"/>
        <w:rPr>
          <w:lang w:val="el" w:eastAsia="el"/>
        </w:rPr>
      </w:pPr>
      <w:r>
        <w:rPr>
          <w:lang w:val="el" w:eastAsia="el"/>
        </w:rPr>
        <w:t xml:space="preserve">10. </w:t>
      </w:r>
      <w:r>
        <w:rPr>
          <w:b/>
          <w:bCs/>
          <w:lang w:val="el" w:eastAsia="el"/>
        </w:rPr>
        <w:t>Την ανάγκη τροποποίησης του άρθρου 1 της υπό στοιχεία Α.1166/16.7.2021 (Β΄3193) κοινής απόφασης του Υφυπουργού Οικονομικών και του Διοικητή της ΑΑΔΕ, αναφορικά με τις κατηγορίες των υπόχρεων της παρ. 8 του άρθρου 13Α του ν. 2523/1997 λόγω των διαμορφούμενων υγειονομικών συνθηκών και του άρθρου 2, αναφορικά με το είδος ελέγχου για την επιβολή του μέτρου αναστολής λειτουργίας επαγγελματικής εγκατάστασης, μετά την τροποποίηση της παρ.1 του άρθρου 13 Α του ν.2523/1997 με το άρθρο 174 του ν.4972/2022 (Β΄181) και την προσθήκη της παράβασης της μη διαβίβασης στο Πληροφοριακό Σύστημα Φορολογικών Ηλεκτρονικών Μηχανισμών (ΦΗΜ) της ΑΑΔΕ στοιχείων λιανικής πώλησης που έχουν εκδοθεί μέσω ΦΗΜ.</w:t>
      </w:r>
    </w:p>
    <w:p>
      <w:pPr>
        <w:pStyle w:val="PreambelText"/>
        <w:spacing w:before="240" w:after="240"/>
        <w:rPr>
          <w:lang w:val="el" w:eastAsia="el"/>
        </w:rPr>
      </w:pPr>
      <w:r>
        <w:rPr>
          <w:lang w:val="el" w:eastAsia="el"/>
        </w:rPr>
        <w:t xml:space="preserve">11.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Τροποποιούμε την υπό στοιχεία Α.1166/16.7.2021 (Β΄3193) κοινή απόφαση του Υφυπουργού Οικονομικών και του Διοικητή της ΑΑΔΕ, ως ακολούθως :</w:t>
      </w:r>
    </w:p>
    <w:p>
      <w:pPr>
        <w:pStyle w:val="MainText"/>
        <w:spacing w:before="120" w:after="0"/>
        <w:rPr>
          <w:lang w:val="el" w:eastAsia="el"/>
        </w:rPr>
      </w:pPr>
      <w:r>
        <w:rPr>
          <w:b/>
          <w:bCs/>
          <w:lang w:val="el" w:eastAsia="el"/>
        </w:rPr>
        <w:t>1.</w:t>
      </w:r>
      <w:r>
        <w:rPr>
          <w:lang w:val="el" w:eastAsia="el"/>
        </w:rPr>
        <w:t xml:space="preserve"> </w:t>
      </w:r>
      <w:r>
        <w:rPr>
          <w:b/>
          <w:bCs/>
          <w:lang w:val="el" w:eastAsia="el"/>
        </w:rPr>
        <w:t>Η περ. ιε΄της παρ. 1 του άρθρου 1 αντικαθίσταται, ως εξής :</w:t>
      </w:r>
    </w:p>
    <w:p>
      <w:pPr>
        <w:spacing w:before="240" w:after="240"/>
        <w:rPr>
          <w:lang w:val="el" w:eastAsia="el"/>
        </w:rPr>
      </w:pPr>
      <w:r>
        <w:rPr>
          <w:b/>
          <w:bCs/>
          <w:lang w:val="el" w:eastAsia="el"/>
        </w:rPr>
        <w:t>«ιε. Φαρμακεία ανεξαρτήτως νομικής μορφής.».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 α΄του άρθρου 2 μετά τις λέξεις «ανακριβής έκδοση παραστατικών πώλησης» προστίθενται οι λέξεις «ή η μη διαβίβαση στοιχείων λιανικής πώλησης που έχουν εκδοθεί μέσω Φορολογικού Ηλεκτρονικού Μηχανισμού (ΦΗΜ)», οι λέξεις «της τήρησης των βιβλίων» αντικαθίστανται με τις λέξεις «της τήρησης των λογιστικών αρχείων (βιβλίων)», και η περ. α΄του άρθρου 2 διαμορφώνεται, ως εξής :</w:t>
      </w:r>
    </w:p>
    <w:p>
      <w:pPr>
        <w:spacing w:before="240" w:after="240"/>
        <w:rPr>
          <w:lang w:val="el" w:eastAsia="el"/>
        </w:rPr>
      </w:pPr>
      <w:r>
        <w:rPr>
          <w:b/>
          <w:bCs/>
          <w:lang w:val="el" w:eastAsia="el"/>
        </w:rPr>
        <w:t>«α) Η αναστολή λειτουργίας της επαγγελματικής εγκατάστασης σύμφωνα με την παρ. 1 του άρθρου 13Α του ν.2523/1997 επιβάλλεται εφόσον διαπιστώνεται η μη έκδοση ή η ανακριβής έκδοση παραστατικών πώλησης, ή η μη διαβίβαση στοιχείων λιανικής πώλησης που έχουν εκδοθεί μέσω Φορολογικού Ηλεκτρονικού Μηχανισμού (ΦΗΜ), κατά τα οριζόμενα στην ως άνω παράγραφο, κατά τη διενέργεια μερικού επιτόπιου ελέγχου διαπίστωσης της εκπλήρωσης των φορολογικών υποχρεώσεων, της τήρησης των λογιστικών αρχείων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με την επιφύλαξη των οριζόμενων στο άρθρο 1 της παρούσας απόφασης.».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Η περ. ιε΄ της παρ. 1 του άρθρου 1 της υπό στοιχεία Α.1166/16.7.2021 (Β΄3193) </w:t>
      </w:r>
    </w:p>
    <w:p>
      <w:pPr>
        <w:spacing w:before="240" w:after="240"/>
        <w:rPr>
          <w:lang w:val="el" w:eastAsia="el"/>
        </w:rPr>
      </w:pPr>
      <w:r>
        <w:rPr>
          <w:b/>
          <w:bCs/>
          <w:lang w:val="el" w:eastAsia="el"/>
        </w:rPr>
        <w:t>κοινής απόφασης του Υφυπουργού Οικονομικών και του Διοικητή της ΑΑΔΕ όπως τροποποιείται με την παρούσα ισχύει και για περιπτώσεις διαπίστωσης παραβάσεων που επισύρουν την επιβολήτης αναστολής λειτουργίας της επαγγελματικής εγκατάστασης σύμφωνα με τα οριζόμενα στο άρθρο 13 Α του ν.2523/1997, για τις οποίες μέχρι τη δημοσίευση της παρούσας δεν έχει εκτελεστεί η προβλεπόμενη πράξη ή απόφαση.</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 xml:space="preserve">I. </w:t>
      </w:r>
      <w:r>
        <w:rPr>
          <w:b/>
          <w:bCs/>
          <w:lang w:val="el" w:eastAsia="el"/>
        </w:rPr>
        <w:t>Εθνικό Τυπογραφείο για δημοσίευση στην Εφημερίδα της Κυβέρνησης (στην ηλεκτρονική διεύθυνση</w:t>
      </w:r>
      <w:hyperlink r:id="rId4" w:history="1">
        <w:r>
          <w:rPr>
            <w:rStyle w:val="Hyperlink"/>
            <w:b/>
            <w:bCs/>
            <w:color w:val="0000EE"/>
            <w:u w:color="0000EE"/>
            <w:lang w:val="el" w:eastAsia="el"/>
          </w:rPr>
          <w:t>webmaster.et@et.gr</w:t>
        </w:r>
      </w:hyperlink>
      <w:r>
        <w:rPr>
          <w:b/>
          <w:bCs/>
          <w:lang w:val="el" w:eastAsia="el"/>
        </w:rPr>
        <w:t>)</w:t>
      </w:r>
    </w:p>
    <w:p>
      <w:pPr>
        <w:spacing w:before="240" w:after="240"/>
        <w:rPr>
          <w:lang w:val="el" w:eastAsia="el"/>
        </w:rPr>
      </w:pPr>
      <w:r>
        <w:rPr>
          <w:b/>
          <w:bCs/>
          <w:lang w:val="el" w:eastAsia="el"/>
        </w:rPr>
        <w:t xml:space="preserve">II. </w:t>
      </w:r>
      <w:r>
        <w:rPr>
          <w:b/>
          <w:bCs/>
          <w:u w:val="single"/>
          <w:lang w:val="el" w:eastAsia="el"/>
        </w:rPr>
        <w:t>ΑΝΕΞΑΡΤΗΤΗ ΑΡΧΗ ΔΗΜΟΣΙΩΝ ΕΣΟΔΩΝ (Α.Α.Δ.Ε.)</w:t>
      </w:r>
    </w:p>
    <w:p>
      <w:pPr>
        <w:pStyle w:val="MainText"/>
        <w:spacing w:before="120" w:after="0"/>
        <w:rPr>
          <w:lang w:val="el" w:eastAsia="el"/>
        </w:rPr>
      </w:pPr>
      <w:r>
        <w:rPr>
          <w:b/>
          <w:bCs/>
          <w:lang w:val="el" w:eastAsia="el"/>
        </w:rPr>
        <w:t>1.</w:t>
      </w:r>
      <w:r>
        <w:rPr>
          <w:b/>
          <w:bCs/>
          <w:lang w:val="el" w:eastAsia="el"/>
        </w:rPr>
        <w:t xml:space="preserve"> </w:t>
      </w:r>
      <w:r>
        <w:rPr>
          <w:b/>
          <w:bCs/>
          <w:u w:val="single"/>
          <w:lang w:val="el" w:eastAsia="el"/>
        </w:rPr>
        <w:t>Γενική Διεύθυνση Φορολογικών Λειτουργιών (Γ.Δ.Φ.Λ.)</w:t>
      </w:r>
    </w:p>
    <w:p>
      <w:pPr>
        <w:pStyle w:val="StructureList1"/>
        <w:spacing w:before="120" w:after="0"/>
        <w:rPr>
          <w:lang w:val="el" w:eastAsia="el"/>
        </w:rPr>
      </w:pPr>
      <w:r>
        <w:rPr>
          <w:b/>
          <w:bCs/>
          <w:lang w:val="el" w:eastAsia="el"/>
        </w:rPr>
        <w:t>α)</w:t>
      </w:r>
      <w:r>
        <w:rPr>
          <w:b/>
          <w:bCs/>
          <w:lang w:val="en" w:eastAsia="en"/>
        </w:rPr>
        <w:tab/>
      </w:r>
      <w:r>
        <w:rPr>
          <w:b/>
          <w:bCs/>
          <w:lang w:val="el" w:eastAsia="el"/>
        </w:rPr>
        <w:t>Προϊσταμένους των Ελεγκτικών Κέντρων (ΕΛ.ΚΕ)</w:t>
      </w:r>
    </w:p>
    <w:p>
      <w:pPr>
        <w:pStyle w:val="StructureList1"/>
        <w:spacing w:before="120" w:after="0"/>
        <w:rPr>
          <w:lang w:val="el" w:eastAsia="el"/>
        </w:rPr>
      </w:pPr>
      <w:r>
        <w:rPr>
          <w:b/>
          <w:bCs/>
          <w:lang w:val="el" w:eastAsia="el"/>
        </w:rPr>
        <w:t>β)</w:t>
      </w:r>
      <w:r>
        <w:rPr>
          <w:b/>
          <w:bCs/>
          <w:lang w:val="en" w:eastAsia="en"/>
        </w:rPr>
        <w:tab/>
      </w:r>
      <w:r>
        <w:rPr>
          <w:b/>
          <w:bCs/>
          <w:lang w:val="el" w:eastAsia="el"/>
        </w:rPr>
        <w:t>Προϊσταμένους των Δημόσιων Οικονομικών Υπηρεσιών (Δ.Ο.Υ.)</w:t>
      </w:r>
    </w:p>
    <w:p>
      <w:pPr>
        <w:pStyle w:val="StructureList1"/>
        <w:spacing w:before="120" w:after="0"/>
        <w:rPr>
          <w:lang w:val="el" w:eastAsia="el"/>
        </w:rPr>
      </w:pPr>
      <w:r>
        <w:rPr>
          <w:b/>
          <w:bCs/>
          <w:lang w:val="el" w:eastAsia="el"/>
        </w:rPr>
        <w:t>γ)</w:t>
      </w:r>
      <w:r>
        <w:rPr>
          <w:b/>
          <w:bCs/>
          <w:lang w:val="en" w:eastAsia="en"/>
        </w:rPr>
        <w:tab/>
      </w:r>
      <w:r>
        <w:rPr>
          <w:b/>
          <w:bCs/>
          <w:lang w:val="el" w:eastAsia="el"/>
        </w:rPr>
        <w:t>Κέντρο Ελέγχου φορολογουμένων μεγάλου Πλούτου (Κ.Ε.ΦΟ.ΜΕ.Π.)</w:t>
      </w:r>
    </w:p>
    <w:p>
      <w:pPr>
        <w:pStyle w:val="StructureList1"/>
        <w:spacing w:before="120" w:after="0"/>
        <w:rPr>
          <w:lang w:val="el" w:eastAsia="el"/>
        </w:rPr>
      </w:pPr>
      <w:r>
        <w:rPr>
          <w:b/>
          <w:bCs/>
          <w:lang w:val="el" w:eastAsia="el"/>
        </w:rPr>
        <w:t>δ)</w:t>
      </w:r>
      <w:r>
        <w:rPr>
          <w:b/>
          <w:bCs/>
          <w:lang w:val="en" w:eastAsia="en"/>
        </w:rPr>
        <w:tab/>
      </w:r>
      <w:r>
        <w:rPr>
          <w:b/>
          <w:bCs/>
          <w:lang w:val="el" w:eastAsia="el"/>
        </w:rPr>
        <w:t>Κέντρο Ελέγχου Μεγάλων Επιχειρήσεων (Κ.Ε.ΜΕ.ΕΠ.)</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Υπηρεσίες Ερευνών και Διασφάλισης Δημοσίων Εσόδων (Υ.Ε.Δ.Δ.Ε.)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Διεύθυνση Στρατηγικής Τεχνολογιών Πληροφορικής (με την παράκληση να αναρτηθεί: α)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 και β) στην Ηλεκτρονική Βιβλιοθήκη)</w:t>
      </w:r>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Αρχηγείο Ελληνικής Αστυνομίας- Π. Κανελλοπούλου 4, Τ.Κ. 101 77</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Οικονομικής Αστυνομίας -Λ. Αλεξάνδρας 173, Τ.Κ. 115 22</w:t>
      </w:r>
    </w:p>
    <w:p>
      <w:pPr>
        <w:pStyle w:val="MainText"/>
        <w:spacing w:before="120" w:after="0"/>
        <w:rPr>
          <w:lang w:val="el" w:eastAsia="el"/>
        </w:rPr>
      </w:pPr>
      <w:r>
        <w:rPr>
          <w:b/>
          <w:bCs/>
          <w:lang w:val="el" w:eastAsia="el"/>
        </w:rPr>
        <w:t>3.</w:t>
      </w:r>
      <w:r>
        <w:rPr>
          <w:b/>
          <w:bCs/>
          <w:lang w:val="el" w:eastAsia="el"/>
        </w:rPr>
        <w:t xml:space="preserve"> </w:t>
      </w:r>
      <w:r>
        <w:rPr>
          <w:b/>
          <w:bCs/>
          <w:u w:val="single"/>
          <w:lang w:val="el" w:eastAsia="el"/>
        </w:rPr>
        <w:t>ΑΝΕΞΑΡΤΗΤΗ ΑΡΧΗ ΔΗΜΟΣΙΩΝ ΕΣΟΔΩΝ (Α.Α.Δ.Ε.)</w:t>
      </w:r>
    </w:p>
    <w:p>
      <w:pPr>
        <w:spacing w:before="240" w:after="240"/>
        <w:rPr>
          <w:lang w:val="el" w:eastAsia="el"/>
        </w:rPr>
      </w:pPr>
      <w:r>
        <w:rPr>
          <w:b/>
          <w:bCs/>
          <w:lang w:val="el" w:eastAsia="el"/>
        </w:rPr>
        <w:t>α)Αποδέκτες του Πίνακα Α΄ (αριθ. 1και 4)</w:t>
      </w:r>
    </w:p>
    <w:p>
      <w:pPr>
        <w:spacing w:before="240" w:after="240"/>
        <w:rPr>
          <w:lang w:val="el" w:eastAsia="el"/>
        </w:rPr>
      </w:pPr>
      <w:r>
        <w:rPr>
          <w:b/>
          <w:bCs/>
          <w:lang w:val="el" w:eastAsia="el"/>
        </w:rPr>
        <w:t>β)Αποδέκτες του Πίνακα Β΄ (αριθ. 1,2,3,4)</w:t>
      </w:r>
    </w:p>
    <w:p>
      <w:pPr>
        <w:spacing w:before="240" w:after="240"/>
        <w:rPr>
          <w:lang w:val="el" w:eastAsia="el"/>
        </w:rPr>
      </w:pPr>
      <w:r>
        <w:rPr>
          <w:b/>
          <w:bCs/>
          <w:lang w:val="el" w:eastAsia="el"/>
        </w:rPr>
        <w:t>γ)Αποδέκτες του Πίνακα Γ΄ (αριθ. 1,2,5)</w:t>
      </w:r>
    </w:p>
    <w:p>
      <w:pPr>
        <w:pStyle w:val="StructureList1"/>
        <w:spacing w:before="120" w:after="0"/>
        <w:rPr>
          <w:lang w:val="el" w:eastAsia="el"/>
        </w:rPr>
      </w:pPr>
      <w:r>
        <w:rPr>
          <w:b/>
          <w:bCs/>
          <w:lang w:val="el" w:eastAsia="el"/>
        </w:rPr>
        <w:t>δ)</w:t>
      </w:r>
      <w:r>
        <w:rPr>
          <w:b/>
          <w:bCs/>
          <w:lang w:val="en" w:eastAsia="en"/>
        </w:rPr>
        <w:tab/>
      </w:r>
      <w:r>
        <w:rPr>
          <w:b/>
          <w:bCs/>
          <w:lang w:val="el" w:eastAsia="el"/>
        </w:rPr>
        <w:t>Αποδέκτες Πίνακα Ζ΄</w:t>
      </w:r>
    </w:p>
    <w:p>
      <w:pPr>
        <w:spacing w:before="240" w:after="240"/>
        <w:rPr>
          <w:lang w:val="el" w:eastAsia="el"/>
        </w:rPr>
      </w:pPr>
      <w:r>
        <w:rPr>
          <w:b/>
          <w:bCs/>
          <w:lang w:val="el" w:eastAsia="el"/>
        </w:rPr>
        <w:t xml:space="preserve">(αριθ. 1.ΠΟΕ Δ.Ο.Υ. και 7.Περιοδικό "Φορολογική Επιθεώρηση" [με την παράκληση να δημοσιευθεί και να αναρτηθεί στην ιστοσελίδα: </w:t>
      </w:r>
      <w:hyperlink r:id="rId5" w:history="1">
        <w:r>
          <w:rPr>
            <w:rStyle w:val="Hyperlink"/>
            <w:b/>
            <w:bCs/>
            <w:color w:val="0000EE"/>
            <w:u w:color="0000EE"/>
            <w:lang w:val="el" w:eastAsia="el"/>
          </w:rPr>
          <w:t>www.poedoy.gr</w:t>
        </w:r>
      </w:hyperlink>
      <w:r>
        <w:rPr>
          <w:b/>
          <w:bCs/>
          <w:lang w:val="el" w:eastAsia="el"/>
        </w:rPr>
        <w:t>] )</w:t>
      </w:r>
    </w:p>
    <w:p>
      <w:pPr>
        <w:pStyle w:val="StructureList1"/>
        <w:spacing w:before="120" w:after="0"/>
        <w:rPr>
          <w:lang w:val="el" w:eastAsia="el"/>
        </w:rPr>
      </w:pPr>
      <w:r>
        <w:rPr>
          <w:b/>
          <w:bCs/>
          <w:lang w:val="el" w:eastAsia="el"/>
        </w:rPr>
        <w:t>ε)</w:t>
      </w:r>
      <w:r>
        <w:rPr>
          <w:b/>
          <w:bCs/>
          <w:lang w:val="en" w:eastAsia="en"/>
        </w:rPr>
        <w:tab/>
      </w:r>
      <w:r>
        <w:rPr>
          <w:b/>
          <w:bCs/>
          <w:lang w:val="el" w:eastAsia="el"/>
        </w:rPr>
        <w:t>Αποδέκτες Πίνακα Η΄(εκτός των αρ. 4, 10 και 11)</w:t>
      </w:r>
    </w:p>
    <w:p>
      <w:pPr>
        <w:pStyle w:val="StructureList1"/>
        <w:spacing w:before="120" w:after="0"/>
        <w:rPr>
          <w:lang w:val="el" w:eastAsia="el"/>
        </w:rPr>
      </w:pPr>
      <w:r>
        <w:rPr>
          <w:b/>
          <w:bCs/>
          <w:lang w:val="el" w:eastAsia="el"/>
        </w:rPr>
        <w:t>στ)</w:t>
      </w:r>
      <w:r>
        <w:rPr>
          <w:b/>
          <w:bCs/>
          <w:lang w:val="en" w:eastAsia="en"/>
        </w:rPr>
        <w:tab/>
      </w:r>
      <w:r>
        <w:rPr>
          <w:b/>
          <w:bCs/>
          <w:lang w:val="el" w:eastAsia="el"/>
        </w:rPr>
        <w:t>Αποδέκτες του Πίνακα Ι’ (αριθ. 4)</w:t>
      </w:r>
    </w:p>
    <w:p>
      <w:pPr>
        <w:pStyle w:val="StructureList1"/>
        <w:spacing w:before="120" w:after="0"/>
        <w:rPr>
          <w:lang w:val="el" w:eastAsia="el"/>
        </w:rPr>
      </w:pPr>
      <w:r>
        <w:rPr>
          <w:b/>
          <w:bCs/>
          <w:lang w:val="el" w:eastAsia="el"/>
        </w:rPr>
        <w:t>ζ)</w:t>
      </w:r>
      <w:r>
        <w:rPr>
          <w:b/>
          <w:bCs/>
          <w:lang w:val="en" w:eastAsia="en"/>
        </w:rPr>
        <w:tab/>
      </w:r>
      <w:r>
        <w:rPr>
          <w:b/>
          <w:bCs/>
          <w:lang w:val="el" w:eastAsia="el"/>
        </w:rPr>
        <w:t>Αποδέκτες Πίνακα ΙΑ’(αριθ. 2)</w:t>
      </w:r>
    </w:p>
    <w:p>
      <w:pPr>
        <w:pStyle w:val="StructureList1"/>
        <w:spacing w:before="120" w:after="0"/>
        <w:rPr>
          <w:lang w:val="el" w:eastAsia="el"/>
        </w:rPr>
      </w:pPr>
      <w:r>
        <w:rPr>
          <w:b/>
          <w:bCs/>
          <w:lang w:val="el" w:eastAsia="el"/>
        </w:rPr>
        <w:t>η)</w:t>
      </w:r>
      <w:r>
        <w:rPr>
          <w:b/>
          <w:bCs/>
          <w:lang w:val="en" w:eastAsia="en"/>
        </w:rPr>
        <w:tab/>
      </w:r>
      <w:r>
        <w:rPr>
          <w:b/>
          <w:bCs/>
          <w:lang w:val="el" w:eastAsia="el"/>
        </w:rPr>
        <w:t>Προϊστάμενο της Γενικής Διεύθυνσης Φορολογικών Λειτουργιών</w:t>
      </w:r>
    </w:p>
    <w:p>
      <w:pPr>
        <w:pStyle w:val="MainText"/>
        <w:spacing w:before="120" w:after="0"/>
        <w:rPr>
          <w:lang w:val="el" w:eastAsia="el"/>
        </w:rPr>
      </w:pPr>
      <w:r>
        <w:rPr>
          <w:b/>
          <w:bCs/>
          <w:lang w:val="el" w:eastAsia="el"/>
        </w:rPr>
        <w:t>4.</w:t>
      </w:r>
      <w:r>
        <w:rPr>
          <w:b/>
          <w:bCs/>
          <w:lang w:val="el" w:eastAsia="el"/>
        </w:rPr>
        <w:t xml:space="preserve"> </w:t>
      </w:r>
      <w:r>
        <w:rPr>
          <w:b/>
          <w:bCs/>
          <w:u w:val="single"/>
          <w:lang w:val="el" w:eastAsia="el"/>
        </w:rPr>
        <w:t>ΥΠΟΥΡΓΕΙΟ ΟΙΚΟΝΟΜΙΚΩΝ: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spacing w:before="240" w:after="240"/>
        <w:rPr>
          <w:lang w:val="el" w:eastAsia="el"/>
        </w:rPr>
      </w:pPr>
      <w:r>
        <w:rPr>
          <w:b/>
          <w:bCs/>
          <w:lang w:val="el" w:eastAsia="el"/>
        </w:rPr>
        <w:t>κ. Βεσυρόπουλου Απόστολου</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Προϊστάμενο της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Όλες οι Διευθύνσεις της Γενικής Διεύθυνσης Φορολογίας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Νομικής Υποστήριξης (Δ.Ν.Υ.)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Ελεγκτικών Διαδικασιών,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