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 ΚΑΙ ΕΠΙΣΤΡΟΦΩΝ ΤΜΗΜΑ A΄</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lang w:val="el" w:eastAsia="el"/>
        </w:rPr>
        <w:t xml:space="preserve">4. </w:t>
      </w:r>
      <w:r>
        <w:rPr>
          <w:b/>
          <w:bCs/>
          <w:lang w:val="el" w:eastAsia="el"/>
        </w:rPr>
        <w:t>ΔΙΕΥΘΥΝΣΗ ΦΟΡΟΛΟΓΙΑΣ ΚΕΦΑΛΑΙΟΥ &amp; ΠΕΡΙΟΥΣΙΟΛΟΓΙΟΥ</w:t>
      </w:r>
    </w:p>
    <w:p>
      <w:pPr>
        <w:pStyle w:val="PreambelText"/>
        <w:spacing w:before="240" w:after="240"/>
        <w:rPr>
          <w:lang w:val="el" w:eastAsia="el"/>
        </w:rPr>
      </w:pPr>
      <w:r>
        <w:rPr>
          <w:lang w:val="el" w:eastAsia="el"/>
        </w:rPr>
        <w:t xml:space="preserve">5. </w:t>
      </w:r>
      <w:r>
        <w:rPr>
          <w:b/>
          <w:bCs/>
          <w:lang w:val="el" w:eastAsia="el"/>
        </w:rPr>
        <w:t>ΔΙΕΥΘΥΝΣΗ ΕΛΕΓΚΤΙΚΩΝ ΔΙΑΔΙΚΑΣΙΩΝ</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Θέμα: Τροποποίηση της υπό στοιχεία ΠΟΛ. 1202/2014 Απόφασης Γ.Γ.Δ.Ε.: «Καθορισμός βιβλίων καταχώρησης εισπρακτέων και επιστρεπτέων ποσών κατά τις διατάξεις του άρθρου 30 του ν.4174/2013, όπως ισχύει» (Β΄2531)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30 και της παρ. 5 του άρθρου 42 του ν. 4987/2022 «Κύρωση Κώδικα Φορολογικής Διαδικασίας» (Α΄206),</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των παρ. 1 και 6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ΠΟΛ. 1202/2014 απόφαση του Γενικού Γραμματέα Δημοσίων Εσόδων του Υπουργείου Οικονομικών «Καθορισμός βιβλίων καταχώρησης εισπρακτέων και επιστρεπτέων ποσών κατά τις διατάξεις του άρθρου 30 του ν.4174/2013, όπως ισχύει» (Β΄ 2531).</w:t>
      </w:r>
    </w:p>
    <w:p>
      <w:pPr>
        <w:spacing w:before="240" w:after="240"/>
        <w:rPr>
          <w:lang w:val="el" w:eastAsia="el"/>
        </w:rPr>
      </w:pPr>
      <w:r>
        <w:rPr>
          <w:lang w:val="el" w:eastAsia="el"/>
        </w:rPr>
        <w:t xml:space="preserve">3. </w:t>
      </w:r>
      <w:r>
        <w:rPr>
          <w:b/>
          <w:bCs/>
          <w:lang w:val="el" w:eastAsia="el"/>
        </w:rPr>
        <w:t>Την υπ’ αρ. 1164/9-8-2018 απόφαση του Διοικητή της Ανεξάρτητης Αρχής Δημοσίων Εσόδων «Τροποποίηση της υπό στοιχεία ΠΟΛ 1202/8-9-2014 (ΦΕΚ Β΄ 2531/2-9-2014) Απόφασης του Γενικού Γραμματέα Δημοσίων Εσόδων “Καθορισμός βιβλίων καταχώρησης εισπρακτέων και επιστρεπτέων ποσών κατά τις διατάξεις του άρθρου 30 του ν.4174/2013, όπως ισχύει”» (Β΄ 3544).</w:t>
      </w:r>
    </w:p>
    <w:p>
      <w:pPr>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υπ’ αρ. 39/3/30-112017 (Υ.Ο.Δ.Δ. 689) αποφάσεις του Συμβουλίου Διοίκησης της ΑΑΔΕ και υπό στοιχεία 5294 ΕΞ 2020/17-01-2020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απλούστευσης και βελτίωσης των διοικητικών διαδικασιών και αντιμετώπισης των προβλημάτων που έχουν προκύψει από τον μεγάλο όγκο των επιστροφών που εκκρεμούν προς τακτοποίηση στη Φορολογική Διοίκηση.</w:t>
      </w:r>
    </w:p>
    <w:p>
      <w:pPr>
        <w:spacing w:before="240" w:after="240"/>
        <w:rPr>
          <w:lang w:val="el" w:eastAsia="el"/>
        </w:rPr>
      </w:pPr>
      <w:r>
        <w:rPr>
          <w:lang w:val="el" w:eastAsia="el"/>
        </w:rPr>
        <w:t xml:space="preserve">6. </w:t>
      </w:r>
      <w:r>
        <w:rPr>
          <w:b/>
          <w:bCs/>
          <w:lang w:val="el" w:eastAsia="el"/>
        </w:rPr>
        <w:t>Το γεγονός ότι με την παρούσα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6 του άρθρου 3 της υπό στοιχεία ΠΟΛ 1202/8-9-2014 ( Β΄ 2531) απόφασης του Γενικού Γραμματέα Δημοσίων Εσόδων, αντικαθίσταται ως εξής: «6. «Φύλλα έκπτωσης ατομικά ή συγκεντρωτικά, που εκδίδονται κεντρικά από τη Γενική Διεύθυνση Ηλεκτρονικής Διακυβέρνησης (Γ.Δ.ΗΛΕ.Δ.), δύναται να εξοφληθούν κεντρικά από αυτήν, ανεξάρτητα από το εάν εκκαθαρίζονται από τη Γ.Δ.ΗΛΕ.Δ. ή από άλλη Υπηρεσία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να δημοσιευτεί στην Εφημερίδα της Κυβερνήσεως .</w:t>
      </w:r>
    </w:p>
    <w:p>
      <w:pPr>
        <w:spacing w:before="240" w:after="240"/>
        <w:rPr>
          <w:lang w:val="el" w:eastAsia="el"/>
        </w:rPr>
      </w:pPr>
      <w:r>
        <w:rPr>
          <w:b/>
          <w:bCs/>
          <w:lang w:val="el" w:eastAsia="el"/>
        </w:rPr>
        <w:t>Ο Διοικητής της Ανεξάρτητης Αρχής Δημοσίων ΕσόδωνΓΕΩΡΓΙΟΣ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Δ/νση Στρατηγικής Τεχνολογιών Πληροφορικής (με την παράκληση να αναρτηθεί στο διαδικτυακό τόπο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Διεύθυνση Ηλεκτρονικής Διακυβέρνησης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Γραμματεία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Β, Δ, Ε, ΣΤ, Ζ, Η, Θ (εκτός Εθνικού Τυπογραφείου), Ι, ΙΒ, ΙΔ, ΙΕ, ΙΣΤ</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κ.κ. Προϊσταμένων Γενικών Διευθύνσεων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Επιχειρησιακού Σχεδιασμού Εισπράξεων και Επιστροφών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Ελεγκτικών Διαδικασιών</w:t>
      </w:r>
    </w:p>
    <w:p>
      <w:pPr>
        <w:pStyle w:val="MainText"/>
        <w:spacing w:before="120" w:after="0"/>
        <w:rPr>
          <w:lang w:val="el" w:eastAsia="el"/>
        </w:rPr>
      </w:pPr>
      <w:r>
        <w:rPr>
          <w:b/>
          <w:bCs/>
          <w:lang w:val="el" w:eastAsia="el"/>
        </w:rPr>
        <w:t>9.</w:t>
      </w:r>
      <w:r>
        <w:rPr>
          <w:lang w:val="el" w:eastAsia="el"/>
        </w:rPr>
        <w:t xml:space="preserve"> </w:t>
      </w:r>
      <w:r>
        <w:rPr>
          <w:b/>
          <w:bCs/>
          <w:lang w:val="el" w:eastAsia="el"/>
        </w:rPr>
        <w:t>Διεύθυνση Επιχειρησιακών Διαδικασιών</w:t>
      </w:r>
    </w:p>
    <w:p>
      <w:pPr>
        <w:pStyle w:val="MainText"/>
        <w:spacing w:before="120" w:after="0"/>
        <w:rPr>
          <w:lang w:val="el" w:eastAsia="el"/>
        </w:rPr>
      </w:pPr>
      <w:r>
        <w:rPr>
          <w:b/>
          <w:bCs/>
          <w:lang w:val="el" w:eastAsia="el"/>
        </w:rPr>
        <w:t>10.</w:t>
      </w:r>
      <w:r>
        <w:rPr>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11.</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12.</w:t>
      </w:r>
      <w:r>
        <w:rPr>
          <w:lang w:val="el" w:eastAsia="el"/>
        </w:rPr>
        <w:t xml:space="preserve">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