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 xml:space="preserve">ΑΠΟΦΑΣΕΙΣ </w:t>
      </w:r>
      <w:r>
        <w:rPr>
          <w:u w:val="single"/>
          <w:lang w:val="el" w:eastAsia="el"/>
        </w:rPr>
        <w:t>Αριθμ. 31367</w:t>
      </w:r>
      <w:r>
        <w:rPr>
          <w:lang w:val="el" w:eastAsia="el"/>
        </w:rPr>
        <w:t>Καθορισμός του ποσού, κατά είδος ενισχύσεων, για τα επενδυτικά σχέδια που υπάγονται στο καθεστώς ενισχύσεων «Ενίσχυση τουριστικών επενδύσεων» του αναπτυξιακού ν. 4887/2022 του έτους 2023.</w:t>
      </w:r>
    </w:p>
    <w:p>
      <w:pPr>
        <w:pStyle w:val="Title"/>
        <w:spacing w:before="120" w:after="360"/>
        <w:rPr>
          <w:lang w:val="el" w:eastAsia="el"/>
        </w:rPr>
      </w:pPr>
      <w:r>
        <w:rPr>
          <w:b/>
          <w:bCs/>
          <w:lang w:val="el" w:eastAsia="el"/>
        </w:rPr>
        <w:t>ΟΙ ΥΠΟΥΡΓΟΙ</w:t>
      </w:r>
    </w:p>
    <w:p>
      <w:pPr>
        <w:pStyle w:val="Title"/>
        <w:spacing w:before="120" w:after="360"/>
        <w:rPr>
          <w:lang w:val="el" w:eastAsia="el"/>
        </w:rPr>
      </w:pPr>
      <w:r>
        <w:rPr>
          <w:b/>
          <w:bCs/>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4887/2022 «Αναπτυξιακός Νόμος - Ελλάδα Ισχυρή Ανάπτυξη» (Α’ 16), όπως ισχύουν, και ειδικότερα την παρ. 3 του άρθρου 29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 της 26.06.2014, σ. 1-178), όπως ισχύει.</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Τις διατάξεις του ν. 4622/2019 «Επιτελικό Κράτος: οργάνωση, λειτουργία και διαφάνεια της Κυβέρνησης, των κυβερνητικών οργάνων και της κεντρικής δημόσιας διόρθωσης» (Α’ 133).</w:t>
      </w:r>
    </w:p>
    <w:p>
      <w:pPr>
        <w:pStyle w:val="PreambelText"/>
        <w:spacing w:before="240" w:after="240"/>
        <w:rPr>
          <w:lang w:val="el" w:eastAsia="el"/>
        </w:rPr>
      </w:pPr>
      <w:r>
        <w:rPr>
          <w:lang w:val="el" w:eastAsia="el"/>
        </w:rPr>
        <w:t>5. Το άρθρο 90 του Κώδικα νομοθεσίας για την Κυβέρνηση και κυβερνητικά όργανα (π.δ. 63/2005, Α’ 98) και διατηρήθηκε σε ισχύ με την παρ. 22 του άρθρου 119 του ν. 4622/2019.</w:t>
      </w:r>
    </w:p>
    <w:p>
      <w:pPr>
        <w:pStyle w:val="PreambelText"/>
        <w:spacing w:before="240" w:after="240"/>
        <w:rPr>
          <w:lang w:val="el" w:eastAsia="el"/>
        </w:rPr>
      </w:pPr>
      <w:r>
        <w:rPr>
          <w:lang w:val="el" w:eastAsia="el"/>
        </w:rPr>
        <w:t>6. Τις διατάξεις του π.δ. 5/2022 «Οργανισμός του Υπουργείου Ανάπτυξης και Επενδύσεων» (Α’ 15).</w:t>
      </w:r>
    </w:p>
    <w:p>
      <w:pPr>
        <w:pStyle w:val="PreambelText"/>
        <w:spacing w:before="240" w:after="240"/>
        <w:rPr>
          <w:lang w:val="el" w:eastAsia="el"/>
        </w:rPr>
      </w:pPr>
      <w:r>
        <w:rPr>
          <w:lang w:val="el" w:eastAsia="el"/>
        </w:rPr>
        <w:t>7. Τις διατάξεις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8.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10.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Την υπό στοιχεία Υ 35/23.09.2021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12. Την υπ’ αρ. 51875/07.05.2021 κοινή απόφαση Πρωθυπουργού και Υπουργού Ανάπτυξης και Επενδύσεων με θέμα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13. Την υπ’ αρ. 22350/10-3-2023 εισήγηση (άρθρο 24 παρ. 5 ε του ν. 4270/2014, όπως ισχύει) του Προϊσταμένου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14. Το γεγονός ότι από τις διατάξεις της παρούσας απόφασης δεν προκαλείται επιβάρυνση του κρατικού προϋπολογισμού για το έτος 2023. Ενδεχόμενη προκαλούμενη δαπάνη για τα επόμενα οικονομικά έτη θα αντιμετωπιστεί στο πλαίσιο των υφιστάμενων ορίων του εκάστοτε ισχύοντος Μεσοπρόθεσμου Πλαισίου Δημοσιονομικής Στρατηγικής (ΜΠΔΣ),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του καθεστώτος του ν. 4887/2016 που προκηρύσσεται το έτος 2023, καθορίζεται για το καθεστώς «Ενίσχυση τουριστικών επενδύσεων», στα εβδομήντα πέντε εκατομμύρια (75.000.000)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 επιδότησης</w:t>
      </w:r>
    </w:p>
    <w:p>
      <w:pPr>
        <w:spacing w:before="240" w:after="240"/>
        <w:rPr>
          <w:lang w:val="el" w:eastAsia="el"/>
        </w:rPr>
      </w:pPr>
      <w:r>
        <w:rPr>
          <w:lang w:val="el" w:eastAsia="el"/>
        </w:rPr>
        <w:t>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για το καθεστώς «Ενίσχυση τουριστικών επενδύσεων» του ν. 4887/2022 που προκηρύσσεται το έτος 2023, καθορίζεται, στα εβδομήντα πέντε εκατομμύρια (75.000.000) ευρώ.</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Πηγές Χρηματοδότησης - 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για τα επενδυτικά σχέδια της παρούσας απόφασης που ενδεχομένως βαρύνουν μελλοντικά πιστώσεις του Προϋπολογισμού Δημοσίων Επενδύσεων,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 για το τρέχον έτος (2023) δεν θα προκύψει δαπάνη σε βάρος του Προϋπολογισμού Δημοσίων Επενδύσεων καθώς και απώλεια φορολογικών εσόδων.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Απριλίου 2023</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54"/>
        <w:gridCol w:w="4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ΠΑΠΑΘΑΝΑΣΗΣ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