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Αριθμ. 59015 ΕΞ 2023</w:t>
      </w:r>
      <w:r>
        <w:rPr>
          <w:b/>
          <w:bCs/>
          <w:lang w:val="el" w:eastAsia="el"/>
        </w:rPr>
        <w:t>Καθορισμός επιχορήγησης των πληγέντων από την πλημμύρα και τον ανεμοστρόβιλο της 23ης και 25ης Ιουνίου 2022 σε περιοχές του Δήμου Νέας Ζίχνης της Περιφερειακής Ενότητας Σερρών της Περιφέρειας Κεντρικής Μακεδονίας.</w:t>
      </w:r>
    </w:p>
    <w:p>
      <w:pPr>
        <w:pStyle w:val="Title"/>
        <w:spacing w:before="120" w:after="360"/>
        <w:rPr>
          <w:lang w:val="el" w:eastAsia="el"/>
        </w:rPr>
      </w:pPr>
      <w:r>
        <w:rPr>
          <w:b/>
          <w:bCs/>
          <w:lang w:val="el" w:eastAsia="el"/>
        </w:rPr>
        <w:t>Ο ΥΠΟΥΡΓΟΣ ΟΙΚΟΝΟΜΙΚΩΝ</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Τις διατάξεις του ν. 4797/2021 «Κρατική αρωγή προς επιχειρήσεις και μη κερδοσκοπικού χαρακτήρα φορείς για θεομηνίες, επείγουσες ρυθμίσεις για τη στήριξη της οικονομίας, συμπληρωματικός κρατικός προϋπολογισμός και συνταξιοδοτική ρύθμιση και λοιπές επείγουσες διατάξεις» (Α’ 66) και ιδίως του άρθρου 4, των παρ. 3, 5 και 7 του άρθρου 7, της παρ. 1 του άρθρου 22 και της παρ. 3 του άρθρου 24.</w:t>
      </w:r>
    </w:p>
    <w:p>
      <w:pPr>
        <w:pStyle w:val="PreambelText"/>
        <w:spacing w:before="240" w:after="240"/>
        <w:rPr>
          <w:lang w:val="el" w:eastAsia="el"/>
        </w:rPr>
      </w:pPr>
      <w:r>
        <w:rPr>
          <w:lang w:val="el" w:eastAsia="el"/>
        </w:rPr>
        <w:t>2. Τις διατάξεις του ν. 5000/2022 «Ενσωμάτωση στην Ελληνική Νομοθεσία της Οδηγίας (ΕΕ) 2019/2235 - Κύρωση Πρόσθετης Πράξης στο Νέο Συνυποσχετικό μεταξύ του Ελληνικού Δημοσίου και της Ναυτιλιακής Κοινότητας και φορολογικές ρυθμίσεις για τη ναυτιλία - Επείγουσες φορολογικές και τελωνειακές ρυθμίσεις - Θεσμικό πλαίσιο λειτουργίας της Κεντρικής Μονάδας Κρατικών Ενισχύσεων και του Δικτύου Κρατικών Ενισχύσεων - Μισθολογικές ρυθμίσεις και άλλες διατάξεις οικονομικού και αναπτυξιακού χαρακτήρα» (Α’ 226).</w:t>
      </w:r>
    </w:p>
    <w:p>
      <w:pPr>
        <w:pStyle w:val="PreambelText"/>
        <w:spacing w:before="240" w:after="240"/>
        <w:rPr>
          <w:lang w:val="el" w:eastAsia="el"/>
        </w:rPr>
      </w:pPr>
      <w:r>
        <w:rPr>
          <w:lang w:val="el" w:eastAsia="el"/>
        </w:rPr>
        <w:t>3. Τις διατάξεις του Κεφαλαίου ΙΑ «Ψηφιακή Διαφάνεια - Πρόγραμμα Διαύγεια» του ν. 4727/2020 «Ψηφιακή Διακυβέρνηση (Ενσωμάτωση στην Ελληνική Νομοθεσία της Οδηγίας (ΕΕ) 2016/2102 και της Οδηγίας (ΕΕ) 2019/1024) Ηλεκτρονικές Επικοινωνίες (Ενσωμάτωση στο Ελληνικό Δίκαιο της Οδηγίας (ΕΕ) 2018/1972) και άλλες διατάξεις» (Α’ 184) και του ν. 3469/2006 «Εθνικό Τυπογραφείο, Εφημερίς της Κυβερνήσεως και λοιπές διατάξεις» (Α’ 131).</w:t>
      </w:r>
    </w:p>
    <w:p>
      <w:pPr>
        <w:pStyle w:val="PreambelText"/>
        <w:spacing w:before="240" w:after="240"/>
        <w:rPr>
          <w:lang w:val="el" w:eastAsia="el"/>
        </w:rPr>
      </w:pPr>
      <w:r>
        <w:rPr>
          <w:lang w:val="el" w:eastAsia="el"/>
        </w:rPr>
        <w:t>4. Τις διατάξεις του άρθρου 13 του ν. 4622/2019 «Επιτελικό Κράτος: οργάνωση, λειτουργία και διαφάνεια της Κυβέρνησης, των κυβερνητικών οργάνων και της κεντρικής δημόσιας διοίκησης» (Α’ 133).</w:t>
      </w:r>
    </w:p>
    <w:p>
      <w:pPr>
        <w:pStyle w:val="PreambelText"/>
        <w:spacing w:before="240" w:after="240"/>
        <w:rPr>
          <w:lang w:val="el" w:eastAsia="el"/>
        </w:rPr>
      </w:pPr>
      <w:r>
        <w:rPr>
          <w:lang w:val="el" w:eastAsia="el"/>
        </w:rPr>
        <w:t>5. Τις διατάξεις του ν. 4270/2014 «Αρχές δημοσιονομικής διαχείρισης και εποπτείας (ενσωμάτωση της Οδηγίας 2011/85/ΕΕ) - δημόσιο λογιστικό και άλλες διατάξεις» (Α’ 143).</w:t>
      </w:r>
    </w:p>
    <w:p>
      <w:pPr>
        <w:pStyle w:val="PreambelText"/>
        <w:spacing w:before="240" w:after="240"/>
        <w:rPr>
          <w:lang w:val="el" w:eastAsia="el"/>
        </w:rPr>
      </w:pPr>
      <w:r>
        <w:rPr>
          <w:lang w:val="el" w:eastAsia="el"/>
        </w:rPr>
        <w:t>6. Τις διατάξεις του ν. 3852/2010 «Νέα Αρχιτεκτονική της Αυτοδιοίκησης και της Αποκεντρωμένης Διοίκησης - Πρόγραμμα Καλλικράτης» (Α’ 87) και ιδίως του άρθρου 160.</w:t>
      </w:r>
    </w:p>
    <w:p>
      <w:pPr>
        <w:pStyle w:val="PreambelText"/>
        <w:spacing w:before="240" w:after="240"/>
        <w:rPr>
          <w:lang w:val="el" w:eastAsia="el"/>
        </w:rPr>
      </w:pPr>
      <w:r>
        <w:rPr>
          <w:lang w:val="el" w:eastAsia="el"/>
        </w:rPr>
        <w:t>7. Τις διατάξεις του άρθρου 10 του ν. 2576/1998 «Βελτίωση των διαδικασιών για την ανάθεση της κατασκευής των δημοσίων έργων και άλλες διατάξεις» (Α’ 25), όπως τροποποιήθηκε με το άρθρο 84 του ν. 4313/2014 (Α’ 261).</w:t>
      </w:r>
    </w:p>
    <w:p>
      <w:pPr>
        <w:pStyle w:val="PreambelText"/>
        <w:spacing w:before="240" w:after="240"/>
        <w:rPr>
          <w:lang w:val="el" w:eastAsia="el"/>
        </w:rPr>
      </w:pPr>
      <w:r>
        <w:rPr>
          <w:lang w:val="el" w:eastAsia="el"/>
        </w:rPr>
        <w:t>8. Το π.δ. 83/2019 «Διορισμός Αντιπροέδρου της Κυβέρνησης, Υπουργών, Αναπληρωτών Υπουργών και Υφυπουργών» (Α’ 121).</w:t>
      </w:r>
    </w:p>
    <w:p>
      <w:pPr>
        <w:pStyle w:val="PreambelText"/>
        <w:spacing w:before="240" w:after="240"/>
        <w:rPr>
          <w:lang w:val="el" w:eastAsia="el"/>
        </w:rPr>
      </w:pPr>
      <w:r>
        <w:rPr>
          <w:lang w:val="el" w:eastAsia="el"/>
        </w:rPr>
        <w:t>9. Το π.δ. 142/2017 «Οργανισμός Υπουργείου Οικονομικών» (Α’ 181).</w:t>
      </w:r>
    </w:p>
    <w:p>
      <w:pPr>
        <w:pStyle w:val="PreambelText"/>
        <w:spacing w:before="240" w:after="240"/>
        <w:rPr>
          <w:lang w:val="el" w:eastAsia="el"/>
        </w:rPr>
      </w:pPr>
      <w:r>
        <w:rPr>
          <w:lang w:val="el" w:eastAsia="el"/>
        </w:rPr>
        <w:t>10. Το π.δ. 80/2016 «Ανάληψη υποχρεώσεων από τους διατάκτες» (Α’ 145).</w:t>
      </w:r>
    </w:p>
    <w:p>
      <w:pPr>
        <w:pStyle w:val="PreambelText"/>
        <w:spacing w:before="240" w:after="240"/>
        <w:rPr>
          <w:lang w:val="el" w:eastAsia="el"/>
        </w:rPr>
      </w:pPr>
      <w:r>
        <w:rPr>
          <w:lang w:val="el" w:eastAsia="el"/>
        </w:rPr>
        <w:t>11. Τις διατάξεις του άρθρου 90 του Κώδικα της νομοθεσίας για την Κυβέρνηση και τα κυβερνητικά όργανα (π.δ. 63/2005, Α’ 98), σε συνδυασμό με την παρ. 22 του άρθρου 119 του ν. 4622/2019.</w:t>
      </w:r>
    </w:p>
    <w:p>
      <w:pPr>
        <w:pStyle w:val="PreambelText"/>
        <w:spacing w:before="240" w:after="240"/>
        <w:rPr>
          <w:lang w:val="el" w:eastAsia="el"/>
        </w:rPr>
      </w:pPr>
      <w:r>
        <w:rPr>
          <w:lang w:val="el" w:eastAsia="el"/>
        </w:rPr>
        <w:t>12. Την υπό στοιχεία 34623/Δ.Α.Ε.Φ.Κ.-Κ.Ε./Α325/ 30.01.2023 κοινή απόφαση των Υπουργών Οικονομικών, Ανάπτυξης και Επενδύσεων, Εσωτερικών και Υποδομών και Μεταφορών «Οριοθέτηση περιοχών και χορήγηση στεγαστικής συνδρομής για την αποκατάσταση των ζημιών σε κτήρια από την πλημμύρα, τον ανεμοστρόβιλο και τη χαλαζόπτωση της 23ης και 25ης Ιουνίου 2022 σε περιοχές του Δήμου Νέας Ζίχνης, της Περιφερειακής Ενότητας Σερρών της Περιφέρειας Κεντρικής Μακεδονίας» (Β’ 686).</w:t>
      </w:r>
    </w:p>
    <w:p>
      <w:pPr>
        <w:pStyle w:val="PreambelText"/>
        <w:spacing w:before="240" w:after="240"/>
        <w:rPr>
          <w:lang w:val="el" w:eastAsia="el"/>
        </w:rPr>
      </w:pPr>
      <w:r>
        <w:rPr>
          <w:lang w:val="el" w:eastAsia="el"/>
        </w:rPr>
        <w:t>13. Την υπό στοιχεία 74617ΕΞ2021/23.06.2021 κοινή απόφαση του Υπουργού και του Υφυπουργού Οικονομικών «Ρύθμιση ειδικότερων θεμάτων επί των διαδικασιών επιχορήγησης επιχειρήσεων για θεομηνίες του ν. 4797/2021 (Α’ 66)» (ΑΔΑ: 68ΦΓΗ-ΧΟΨ) (Β’ 2670), όπως τροποποιήθηκε με τις υπό στοιχεία 110065 ΕΞ2021/10.09.2021 (ΑΔΑ: 654ΩΗ-ΔΧ0) (Β’ 4203), 147036 ΕΞ 2021/22.11.2021 (ΑΔΑ: Ψ9Ρ2Η-8ΨΙ) (Β’ 5424) και 43288ΕΞ/17.03.2023 (Β’ 1783) αποφάσεις του Υπουργού Οικονομικών.</w:t>
      </w:r>
    </w:p>
    <w:p>
      <w:pPr>
        <w:pStyle w:val="PreambelText"/>
        <w:spacing w:before="240" w:after="240"/>
        <w:rPr>
          <w:lang w:val="el" w:eastAsia="el"/>
        </w:rPr>
      </w:pPr>
      <w:r>
        <w:rPr>
          <w:lang w:val="el" w:eastAsia="el"/>
        </w:rPr>
        <w:t>14. Την υπ’ αρ. 28992/29.03.2023 (ΑΔΑ: 9ΒΧΑ46ΜΤΛΡ- 8ΤΦ) απόφαση του Υφυπουργού Ανάπτυξης και Επενδύσεων.</w:t>
      </w:r>
    </w:p>
    <w:p>
      <w:pPr>
        <w:pStyle w:val="PreambelText"/>
        <w:spacing w:before="240" w:after="240"/>
        <w:rPr>
          <w:lang w:val="el" w:eastAsia="el"/>
        </w:rPr>
      </w:pPr>
      <w:r>
        <w:rPr>
          <w:lang w:val="el" w:eastAsia="el"/>
        </w:rPr>
        <w:t>15. Την υπ’ αρ. 4050/17.01.2023 (ΑΔΑ: ΨΙ3Κ46ΜΤΛΠ- 0ΓΙ) απόφαση του Γενικού Γραμματέα Δημοσίων Επενδύσεων και Εταιρικού Συμφώνου για το Πλαίσιο Ανάπτυξης (ΕΣΠΑ) .</w:t>
      </w:r>
    </w:p>
    <w:p>
      <w:pPr>
        <w:pStyle w:val="PreambelText"/>
        <w:spacing w:before="240" w:after="240"/>
        <w:rPr>
          <w:lang w:val="el" w:eastAsia="el"/>
        </w:rPr>
      </w:pPr>
      <w:r>
        <w:rPr>
          <w:lang w:val="el" w:eastAsia="el"/>
        </w:rPr>
        <w:t>16. α) Την παρ. 2β του άρθρου 107 της Συνθήκης για τη λειτουργία της Ευρωπαϊκής Ένωσης (επίσημη εφημερίδα της Ευρωπαϊκής Ένωσης C326/26-10-2012) σύμφωνα με την οποία «Συμβιβάζονται με την εσωτερική αγορά οι ενισχύσεις για την επανόρθωση ζημιών που προκαλούνται από θεομηνίες ή άλλα έκτακτα γεγονότα».</w:t>
      </w:r>
    </w:p>
    <w:p>
      <w:pPr>
        <w:pStyle w:val="StructureList1"/>
        <w:spacing w:before="120" w:after="0"/>
        <w:rPr>
          <w:lang w:val="el" w:eastAsia="el"/>
        </w:rPr>
      </w:pPr>
      <w:r>
        <w:rPr>
          <w:lang w:val="el" w:eastAsia="el"/>
        </w:rPr>
        <w:t>β)</w:t>
      </w:r>
      <w:r>
        <w:rPr>
          <w:lang w:val="en" w:eastAsia="en"/>
        </w:rPr>
        <w:tab/>
      </w:r>
      <w:r>
        <w:rPr>
          <w:lang w:val="el" w:eastAsia="el"/>
        </w:rPr>
        <w:t>Τον Κανονισμό (ΕΕ) 651/2014 της Επιτροπής της 17ης Ιουνίου 2014 για την κήρυξη ορισμένων κατηγοριών ενισχύσεων ως συμβατών με την εσωτερική αγορά, κατ’ εφαρμογή των άρθρων 107 και 108 της Συνθήκης για τη λειτουργία της Ευρωπαϊκής Ένωσης (ΕΕ L 187/26-6-2014 σ. 1), και ιδίως τα άρθρα 7, 9, 11, 12 και 50 αυτού.</w:t>
      </w:r>
    </w:p>
    <w:p>
      <w:pPr>
        <w:pStyle w:val="StructureList1"/>
        <w:spacing w:before="120" w:after="0"/>
        <w:rPr>
          <w:lang w:val="el" w:eastAsia="el"/>
        </w:rPr>
      </w:pPr>
      <w:r>
        <w:rPr>
          <w:lang w:val="el" w:eastAsia="el"/>
        </w:rPr>
        <w:t>γ)</w:t>
      </w:r>
      <w:r>
        <w:rPr>
          <w:lang w:val="en" w:eastAsia="en"/>
        </w:rPr>
        <w:tab/>
      </w:r>
      <w:r>
        <w:rPr>
          <w:lang w:val="el" w:eastAsia="el"/>
        </w:rPr>
        <w:t>Τον Κανονισμό (ΕΕ) 2022/2472 της Επιτροπής της 14ης Δεκεμβρίου 2022 για την κήρυξη ορισμένων κατηγοριών ενισχύσεων στους τομείς της γεωργίας και δασοκομίας και σε αγροτικές περιοχές συμβιβάσιμων με την εσωτερική αγορά, κατ’ εφαρμογή των άρθρων 107 και 108 της Συνθήκης για τη λειτουργία της Ευρωπαϊκής Ένωσης (ΕΕ L 327/21.12.2022 σ. 1), και ιδίως τα άρθρα 7, 9, 11, 13 και 37 αυτού.</w:t>
      </w:r>
    </w:p>
    <w:p>
      <w:pPr>
        <w:pStyle w:val="StructureList1"/>
        <w:spacing w:before="120" w:after="0"/>
        <w:rPr>
          <w:lang w:val="el" w:eastAsia="el"/>
        </w:rPr>
      </w:pPr>
      <w:r>
        <w:rPr>
          <w:lang w:val="el" w:eastAsia="el"/>
        </w:rPr>
        <w:t>δ)</w:t>
      </w:r>
      <w:r>
        <w:rPr>
          <w:lang w:val="en" w:eastAsia="en"/>
        </w:rPr>
        <w:tab/>
      </w:r>
      <w:r>
        <w:rPr>
          <w:lang w:val="el" w:eastAsia="el"/>
        </w:rPr>
        <w:t>Τον ορισμό της «Επιχείρησης» σύμφωνα με το άρθρο 1 του Παραρτήματος Ι του Κανονισμού (ΕΕ) 651/2014 και του Κανονισμού (ΕΕ) 2022/2472, όπου «Επιχείρηση θεωρείται κάθε οντότητα, ανεξάρτητα από τη νομική της μορφή, που ασκεί οικονομική δραστηριότητα. Σε αυτές περιλαμβάνονται ειδικότερα αυτοαπασχολούμενα άτομα και οικογενειακές επιχειρήσεις που ασκούν βιοτεχνική ή άλλη δραστηριότητα, καθώς και προσωπικές εταιρείες ή ενώσεις προσώπων που ασκούν τακτικά μια οικονομική δραστηριότητα».</w:t>
      </w:r>
    </w:p>
    <w:p>
      <w:pPr>
        <w:pStyle w:val="PreambelText"/>
        <w:spacing w:before="240" w:after="240"/>
        <w:rPr>
          <w:lang w:val="el" w:eastAsia="el"/>
        </w:rPr>
      </w:pPr>
      <w:r>
        <w:rPr>
          <w:lang w:val="el" w:eastAsia="el"/>
        </w:rPr>
        <w:t>17. Το υπ’ αρ. οικ. 124418(966)/20.02.2023 έγγραφο της Αυτοτελούς Διεύθυνσης Πολιτικής Προστασίας της Περιφερειακής Ενότητας Σερρών της Περιφέρειας Κεντρικής Μακεδονίας.</w:t>
      </w:r>
    </w:p>
    <w:p>
      <w:pPr>
        <w:pStyle w:val="PreambelText"/>
        <w:spacing w:before="240" w:after="240"/>
        <w:rPr>
          <w:lang w:val="el" w:eastAsia="el"/>
        </w:rPr>
      </w:pPr>
      <w:r>
        <w:rPr>
          <w:lang w:val="el" w:eastAsia="el"/>
        </w:rPr>
        <w:t>18. Το υπό στοιχεία 55704ΕΞ2023/06.04.2023 έγγραφο του Τμήματος Κρατικών Ενισχύσεων της Διεύθυνσης Εποπτευόμενων Φορέων της Γενικής Διεύθυνσης Οικονομικών Υπηρεσιών του Υπουργείου Οικονομικών.</w:t>
      </w:r>
    </w:p>
    <w:p>
      <w:pPr>
        <w:pStyle w:val="PreambelText"/>
        <w:spacing w:before="240" w:after="240"/>
        <w:rPr>
          <w:lang w:val="el" w:eastAsia="el"/>
        </w:rPr>
      </w:pPr>
      <w:r>
        <w:rPr>
          <w:lang w:val="el" w:eastAsia="el"/>
        </w:rPr>
        <w:t>19. Τις από 22.06.2022 και 04.11.2022 εισηγήσεις της Κυβερνητικής Επιτροπής Κρατικής Αρωγής.</w:t>
      </w:r>
    </w:p>
    <w:p>
      <w:pPr>
        <w:pStyle w:val="PreambelText"/>
        <w:spacing w:before="240" w:after="240"/>
        <w:rPr>
          <w:lang w:val="el" w:eastAsia="el"/>
        </w:rPr>
      </w:pPr>
      <w:r>
        <w:rPr>
          <w:lang w:val="el" w:eastAsia="el"/>
        </w:rPr>
        <w:t>20. Την ανάγκη στήριξης των επιχειρήσεων που είναι εγκατεστημένες και λειτουργούν σε περιοχές του Δήμου Νέας Ζίχνης της Περιφερειακής Ενότητας Σερρών της Περιφέρειας Κεντρικής Μακεδονίας και επλήγησαν από την πλημμύρα και τον ανεμοστρόβιλο της 23ης και 25ης Ιουνίου 2022.</w:t>
      </w:r>
    </w:p>
    <w:p>
      <w:pPr>
        <w:pStyle w:val="PreambelText"/>
        <w:spacing w:before="240" w:after="240"/>
        <w:rPr>
          <w:lang w:val="el" w:eastAsia="el"/>
        </w:rPr>
      </w:pPr>
      <w:r>
        <w:rPr>
          <w:lang w:val="el" w:eastAsia="el"/>
        </w:rPr>
        <w:t>21. Την υπό στοιχεία 55295ΕΞ2023/06.04.2023 εισήγηση της Γενικής Διεύθυνσης Οικονομικών Υπηρεσιών του Υπουργείου Οικονομικών.</w:t>
      </w:r>
    </w:p>
    <w:p>
      <w:pPr>
        <w:pStyle w:val="PreambelText"/>
        <w:spacing w:before="240" w:after="240"/>
        <w:rPr>
          <w:lang w:val="el" w:eastAsia="el"/>
        </w:rPr>
      </w:pPr>
      <w:r>
        <w:rPr>
          <w:lang w:val="el" w:eastAsia="el"/>
        </w:rPr>
        <w:t>22. Το γεγονός ότι από τις διατάξεις της παρούσας δεν προκαλείται επιπλέον δαπάνη στον κρατικό προϋπολογισμό πέραν της δαπάνης ύψους 39.415,00 ευρώ περίπου, κατ’ ανώτατο όριο, σε βάρος του προϋπολογισμού Δημοσίων Επενδύσεων του Υπουργείου Οικονομικών (ΣΑΝΑ 851 ΚΩΔ.ΕΡΓΟΥ 2022ΝΑ85100004), η οποία καλύπτεται από την υπ’ αρ. 28992/29.03.2023 απόφαση του Υφυπουργού Ανάπτυξης και Επενδύσεων. Μέρος της ανωτέρω δαπάνης ύψους 29.450,00 ευρώ, εμπίπτει στις διατάξεις του Κανονισμού (ΕΕ) 651/2014 και μέρος της δαπάνης ύψους 9.965,00 ευρώ περίπου, εμπίπτει στις διατάξεις του Κανονισμού (ΕΕ) 2022/2472, αποφασίζουμε:</w:t>
      </w:r>
    </w:p>
    <w:p>
      <w:pPr>
        <w:pStyle w:val="Heading6"/>
        <w:spacing w:before="240" w:after="240"/>
        <w:rPr>
          <w:lang w:val="el" w:eastAsia="el"/>
        </w:rPr>
      </w:pPr>
      <w:r>
        <w:rPr>
          <w:lang w:val="el" w:eastAsia="el"/>
        </w:rPr>
        <w:t xml:space="preserve">Άρθρο </w:t>
      </w:r>
    </w:p>
    <w:p>
      <w:pPr>
        <w:pStyle w:val="Heading6"/>
        <w:spacing w:before="240" w:after="240"/>
        <w:rPr>
          <w:lang w:val="el" w:eastAsia="el"/>
        </w:rPr>
      </w:pPr>
      <w:r>
        <w:rPr>
          <w:lang w:val="el" w:eastAsia="el"/>
        </w:rPr>
        <w:t>μόνο</w:t>
      </w:r>
    </w:p>
    <w:p>
      <w:pPr>
        <w:pStyle w:val="MainText"/>
        <w:spacing w:before="120" w:after="0"/>
        <w:rPr>
          <w:lang w:val="el" w:eastAsia="el"/>
        </w:rPr>
      </w:pPr>
      <w:r>
        <w:rPr>
          <w:b/>
          <w:bCs/>
          <w:lang w:val="el" w:eastAsia="el"/>
        </w:rPr>
        <w:t>1.</w:t>
      </w:r>
      <w:r>
        <w:rPr>
          <w:lang w:val="el" w:eastAsia="el"/>
        </w:rPr>
        <w:t xml:space="preserve"> Παρέχεται επιχορήγηση για την αντιμετώπιση των ζημιών που προκλήθηκαν από την πλημμύρα και τον ανεμοστρόβιλο της 23ης και 25ης Ιουνίου 2022 σε περιοχές του Δήμου Νέας Ζίχνης της Περιφερειακής Ενότητας Σερρών της Περιφέρειας Κεντρικής Μακεδονίας, οι οποίες έχουν οριοθετηθεί με την υπό στοιχεία 34623/Δ.Α.Ε.Φ.Κ.-Κ.Ε./Α325/30.01.2023 (Β’ 686) κοινή απόφαση των Υπουργών Οικονομικών, Ανάπτυξης και Επενδύσεων, Εσωτερικών και Υποδομών και Μεταφορών, σύμφωνα με τις διατάξεις του ν. 4797/2021, ιδίως των άρθρων 4, 7, 22 και 24 αυτού και των Κανονισμών (ΕΕ) αρ. 651/2014 και 2022/2472.</w:t>
      </w:r>
    </w:p>
    <w:p>
      <w:pPr>
        <w:pStyle w:val="MainText"/>
        <w:spacing w:before="120" w:after="0"/>
        <w:rPr>
          <w:lang w:val="el" w:eastAsia="el"/>
        </w:rPr>
      </w:pPr>
      <w:r>
        <w:rPr>
          <w:b/>
          <w:bCs/>
          <w:lang w:val="el" w:eastAsia="el"/>
        </w:rPr>
        <w:t>2.</w:t>
      </w:r>
      <w:r>
        <w:rPr>
          <w:lang w:val="el" w:eastAsia="el"/>
        </w:rPr>
        <w:t xml:space="preserve"> Η επιχορήγηση παρέχεται για την αντιμετώπιση ζημιών των επιχειρήσεων οι οποίες έχουν καταγραφεί από την αρμόδια Επιτροπή Κρατικής Αρωγής της Περιφέρειας σύμφωνα με το υπ’ αρ. 17 του προοιμίου έγγραφο και καλύπτει στοιχεία ενεργητικού, όπως εξοπλισμό, πρώτες ύλες, εμπορεύματα, φορτηγά αυτοκίνητα δημόσιας και ιδιωτικής χρήσης καθώς και επαγγελματικά αυτοκίνητα, μέσα παραγωγής, συμπεριλαμβανομένου του εγγείου κεφαλαίου και αποθηκευμένα προϊόντα, τα οποία κατεγράφησαν ως κατεστραμμένα.</w:t>
      </w:r>
    </w:p>
    <w:p>
      <w:pPr>
        <w:pStyle w:val="MainText"/>
        <w:spacing w:before="120" w:after="0"/>
        <w:rPr>
          <w:lang w:val="el" w:eastAsia="el"/>
        </w:rPr>
      </w:pPr>
      <w:r>
        <w:rPr>
          <w:b/>
          <w:bCs/>
          <w:lang w:val="el" w:eastAsia="el"/>
        </w:rPr>
        <w:t>3.</w:t>
      </w:r>
      <w:r>
        <w:rPr>
          <w:lang w:val="el" w:eastAsia="el"/>
        </w:rPr>
        <w:t xml:space="preserve"> Η επιχορήγηση συνίσταται σε δωρεάν χρηματική ενίσχυση του Δημοσίου και είναι ίση με μέρος του συνόλου της κατά περίπτωση εκτιμηθείσας ζημίας, από την αρμόδια Επιτροπή Κρατικής Αρωγής της Περιφέρειας. Το ύψος της ενίσχυσης υπολογίζεται κλιμακωτά ως εξής: α) Για εκτιμηθείσα ζημία μέχρι και 10.000 ευρώ, υπολογίζεται ποσό ενίσχυσης ίσο με το 70% αυτής,</w:t>
      </w:r>
    </w:p>
    <w:p>
      <w:pPr>
        <w:pStyle w:val="StructureList1"/>
        <w:spacing w:before="120" w:after="0"/>
        <w:rPr>
          <w:lang w:val="el" w:eastAsia="el"/>
        </w:rPr>
      </w:pPr>
      <w:r>
        <w:rPr>
          <w:lang w:val="el" w:eastAsia="el"/>
        </w:rPr>
        <w:t>β)</w:t>
      </w:r>
      <w:r>
        <w:rPr>
          <w:lang w:val="en" w:eastAsia="en"/>
        </w:rPr>
        <w:tab/>
      </w:r>
      <w:r>
        <w:rPr>
          <w:lang w:val="el" w:eastAsia="el"/>
        </w:rPr>
        <w:t>για εκτιμηθείσα ζημία από 10.001 ευρώ ως και 20.000 ευρώ, υπολογίζεται ποσό ενίσχυσης ίσο με το 50% αυτής και</w:t>
      </w:r>
    </w:p>
    <w:p>
      <w:pPr>
        <w:pStyle w:val="StructureList1"/>
        <w:spacing w:before="120" w:after="0"/>
        <w:rPr>
          <w:lang w:val="el" w:eastAsia="el"/>
        </w:rPr>
      </w:pPr>
      <w:r>
        <w:rPr>
          <w:lang w:val="el" w:eastAsia="el"/>
        </w:rPr>
        <w:t>γ)</w:t>
      </w:r>
      <w:r>
        <w:rPr>
          <w:lang w:val="en" w:eastAsia="en"/>
        </w:rPr>
        <w:tab/>
      </w:r>
      <w:r>
        <w:rPr>
          <w:lang w:val="el" w:eastAsia="el"/>
        </w:rPr>
        <w:t>για εκτιμηθείσα ζημία από 20.001 ευρώ και άνω, υπολογίζεται ποσό ενίσχυσης ίσο με το 30% αυτής.</w:t>
      </w:r>
    </w:p>
    <w:p>
      <w:pPr>
        <w:spacing w:before="240" w:after="240"/>
        <w:rPr>
          <w:lang w:val="el" w:eastAsia="el"/>
        </w:rPr>
      </w:pPr>
      <w:r>
        <w:rPr>
          <w:lang w:val="el" w:eastAsia="el"/>
        </w:rPr>
        <w:t>Ειδικά για τις επιχειρήσεις οι οποίες έχουν ασφαλιστήριο συμβόλαιο, η επιχορήγηση συνίσταται σε δωρεάν χρηματική ενίσχυση του Δημοσίου και είναι ίση με το ύψος της ενίσχυσης που προκύπτει κατά τα ανωτέρω, όπως υπολογίζεται επί του ποσού της εκτιμηθείσας ζημιάς που δεν καταβάλλεται από το ασφαλιστήριο συμβόλαιο.</w:t>
      </w:r>
    </w:p>
    <w:p>
      <w:pPr>
        <w:pStyle w:val="MainText"/>
        <w:spacing w:before="120" w:after="0"/>
        <w:rPr>
          <w:lang w:val="el" w:eastAsia="el"/>
        </w:rPr>
      </w:pPr>
      <w:r>
        <w:rPr>
          <w:b/>
          <w:bCs/>
          <w:lang w:val="el" w:eastAsia="el"/>
        </w:rPr>
        <w:t>4.</w:t>
      </w:r>
      <w:r>
        <w:rPr>
          <w:lang w:val="el" w:eastAsia="el"/>
        </w:rPr>
        <w:t xml:space="preserve"> Η επιχορήγηση καταβάλλεται εντός τεσσάρων (4) ετών από την ημερομηνία εκδήλωσης της θεομηνίας, σύμφωνα με την παρ. 3 του άρθρου 50 του Κανονισμού (ΕΕ) 651/2014 και την παρ. 4 του άρθρου 37 του Κανονισμού (ΕΕ) 2022/2472.</w:t>
      </w:r>
    </w:p>
    <w:p>
      <w:pPr>
        <w:pStyle w:val="MainText"/>
        <w:spacing w:before="120" w:after="0"/>
        <w:rPr>
          <w:lang w:val="el" w:eastAsia="el"/>
        </w:rPr>
      </w:pPr>
      <w:r>
        <w:rPr>
          <w:b/>
          <w:bCs/>
          <w:lang w:val="el" w:eastAsia="el"/>
        </w:rPr>
        <w:t>5.</w:t>
      </w:r>
      <w:r>
        <w:rPr>
          <w:lang w:val="el" w:eastAsia="el"/>
        </w:rPr>
        <w:t xml:space="preserve"> Όταν η δικαιούχος ενιαία επιχείρηση λάβει συνολική επιχορήγηση άνω των ορίων που τίθενται στο άρθρο 9 του Κανονισμού (ΕΕ) 651/2014 και του Κανονισμού (ΕΕ) 2022/2472, το Τμήμα Κρατικών Ενισχύσεων της ΓΔΟΥ του Υπουργείου Οικονομικών δημοσιεύει τις πληροφορίες που αναφέρονται στο Παράρτημα III των εν λόγω Κανονισμών, σε εμπεριστατωμένο δικτυακό τόπο της Ευρωπαϊκής Επιτροπής για τις κρατικές ενισχύσεις (Transparency Award Module-TAM, </w:t>
      </w:r>
      <w:hyperlink r:id="rId4" w:history="1">
        <w:r>
          <w:rPr>
            <w:rStyle w:val="Hyperlink"/>
            <w:color w:val="0000EE"/>
            <w:u w:color="0000EE"/>
            <w:lang w:val="el" w:eastAsia="el"/>
          </w:rPr>
          <w:t>https://webgate.ec.europa.eu/</w:t>
        </w:r>
      </w:hyperlink>
      <w:r>
        <w:rPr>
          <w:lang w:val="el" w:eastAsia="el"/>
        </w:rPr>
        <w:t xml:space="preserve"> competition/transpare ncy/public/search/home/), για λόγους διαφάνειας, το αργότερο εντός έξι (6) μηνών από την ημερομηνία χορήγησής της, κατά τα προβλεπόμενα στο άρθρο 32 του ν. 5000/2022 (Α’ 226).</w:t>
      </w:r>
    </w:p>
    <w:p>
      <w:pPr>
        <w:pStyle w:val="MainText"/>
        <w:spacing w:before="120" w:after="0"/>
        <w:rPr>
          <w:lang w:val="el" w:eastAsia="el"/>
        </w:rPr>
      </w:pPr>
      <w:r>
        <w:rPr>
          <w:b/>
          <w:bCs/>
          <w:lang w:val="el" w:eastAsia="el"/>
        </w:rPr>
        <w:t>6.</w:t>
      </w:r>
      <w:r>
        <w:rPr>
          <w:lang w:val="el" w:eastAsia="el"/>
        </w:rPr>
        <w:t xml:space="preserve"> Για την καταβολή της επιχορήγησης απαιτείται εντός προθεσμίας δύο μηνών από την έκδοση της παρούσας, η προσκόμιση στη Διεύθυνση Κρατικής Αρωγής της Γενικής Γραμματείας Οικονομικής Πολιτικής, των δικαιολογητικών της παρ. 1 του άρθρου 5 της υπό στοιχεία 74617ΕΞ2021/23.06.2021 (Β’ 2670) (ΑΔΑ: 68ΦΓΗ-ΧΟΨ) κοινής απόφασης του Υπουργού και του Υφυπουργού Οικονομικών.</w:t>
      </w:r>
    </w:p>
    <w:p>
      <w:pPr>
        <w:pStyle w:val="MainText"/>
        <w:spacing w:before="120" w:after="0"/>
        <w:rPr>
          <w:lang w:val="el" w:eastAsia="el"/>
        </w:rPr>
      </w:pPr>
      <w:r>
        <w:rPr>
          <w:b/>
          <w:bCs/>
          <w:lang w:val="el" w:eastAsia="el"/>
        </w:rPr>
        <w:t>7.</w:t>
      </w:r>
      <w:r>
        <w:rPr>
          <w:lang w:val="el" w:eastAsia="el"/>
        </w:rPr>
        <w:t xml:space="preserve"> Η βεβαίωση περί του ύψους των ζημιών παρέχεται από την αρμόδια Υπηρεσία της Περιφέρειας με βάση τις ζημιές που κατέγραψαν οι αρμόδιες επιτροπές. Από το ύψος της εκτιμηθείσας ζημίας αφαιρείται τυχόν ασφαλιστική αποζημίωση που έλαβε ή πρόκειται να λάβει ο δικαιούχος. Σε κάθε περίπτωση, για την καταβολή της επιχορήγησης απαιτείται η ολοκλήρωση του προσδιορισμού του ποσού της ζημίας που καλύπτεται από ασφαλιστήριο συμβόλαιο.</w:t>
      </w:r>
    </w:p>
    <w:p>
      <w:pPr>
        <w:pStyle w:val="MainText"/>
        <w:spacing w:before="120" w:after="0"/>
        <w:rPr>
          <w:lang w:val="el" w:eastAsia="el"/>
        </w:rPr>
      </w:pPr>
      <w:r>
        <w:rPr>
          <w:b/>
          <w:bCs/>
          <w:lang w:val="el" w:eastAsia="el"/>
        </w:rPr>
        <w:t>8.</w:t>
      </w:r>
      <w:r>
        <w:rPr>
          <w:lang w:val="el" w:eastAsia="el"/>
        </w:rPr>
        <w:t xml:space="preserve"> Μετά την ολοκλήρωση της συγκέντρωσης των δικαιολογητικών, οι φάκελοι διαβιβάζονται από τη Διεύθυνση Κρατικής Αρωγής της Γενικής Γραμματείας Οικονομικής Πολιτικής, στη Γενική Διεύθυνση Οικονομικών Υπηρεσιών (ΓΔΟΥ) του Υπουργείου Οικονομικών, συνοδευόμενοι από την αναλυτική κατάσταση των πληγεισών επιχειρήσεων της παρ. 4 του άρθρου 5 της υπό στοιχεία 74617ΕΞ2021/23.06.2021 (Β’ 2670) (ΑΔΑ: 68ΦΓΗ-ΧΟΨ) κοινής απόφασης του Υπουργού και του Υφυπουργού Οικονομικών, όπως ισχύει, σε ηλεκτρονική μορφή. Η ΓΔΟΥ προβαίνει σε έλεγχο, εκκαθάριση και πληρωμή στους δικαιούχους του δικαιούμενου ποσού.</w:t>
      </w:r>
    </w:p>
    <w:p>
      <w:pPr>
        <w:pStyle w:val="MainText"/>
        <w:spacing w:before="120" w:after="0"/>
        <w:rPr>
          <w:lang w:val="el" w:eastAsia="el"/>
        </w:rPr>
      </w:pPr>
      <w:r>
        <w:rPr>
          <w:b/>
          <w:bCs/>
          <w:lang w:val="el" w:eastAsia="el"/>
        </w:rPr>
        <w:t>9.</w:t>
      </w:r>
      <w:r>
        <w:rPr>
          <w:lang w:val="el" w:eastAsia="el"/>
        </w:rPr>
        <w:t xml:space="preserve"> Τα δικαιολογητικά της παρ. 6 τηρούνται στην αρμόδια Διεύθυνση της Γενικής Γραμματείας Οικονομικής Πολιτικής του Υπουργείου Οικονομικών για δέκα (10) έτη από την ημερομηνία καταβολής της επιχορήγησης.</w:t>
      </w:r>
    </w:p>
    <w:p>
      <w:pPr>
        <w:pStyle w:val="MainText"/>
        <w:spacing w:before="120" w:after="0"/>
        <w:rPr>
          <w:lang w:val="el" w:eastAsia="el"/>
        </w:rPr>
      </w:pPr>
      <w:r>
        <w:rPr>
          <w:b/>
          <w:bCs/>
          <w:lang w:val="el" w:eastAsia="el"/>
        </w:rPr>
        <w:t>10.</w:t>
      </w:r>
      <w:r>
        <w:rPr>
          <w:lang w:val="el" w:eastAsia="el"/>
        </w:rPr>
        <w:t xml:space="preserve"> Οι υπηρεσίες της Περιφέρειας υποχρεούνται να τηρούν για διάστημα πέντε (5) τουλάχιστον ετών το σύνολο των φακέλων και των σχετιζόμενων εγγράφων και δικαιολογητικών επιχορήγησης κάθε επιχείρησης για τους σκοπούς του ελέγχου του άρθρου 21 του ν. 4797/2021.</w:t>
      </w:r>
    </w:p>
    <w:p>
      <w:pPr>
        <w:pStyle w:val="MainText"/>
        <w:spacing w:before="120" w:after="0"/>
        <w:rPr>
          <w:lang w:val="el" w:eastAsia="el"/>
        </w:rPr>
      </w:pPr>
      <w:r>
        <w:rPr>
          <w:b/>
          <w:bCs/>
          <w:lang w:val="el" w:eastAsia="el"/>
        </w:rPr>
        <w:t>11.</w:t>
      </w:r>
      <w:r>
        <w:rPr>
          <w:lang w:val="el" w:eastAsia="el"/>
        </w:rPr>
        <w:t xml:space="preserve"> Κατά τα λοιπά εφαρμόζεται η υπό στοιχεία 74617ΕΞ2021/23.06.2021 (Β’ 2670) (ΑΔΑ: 68ΦΓΗ-ΧΟΨ) κοινή απόφαση του Υπουργού και του Υφυπουργού Οικονομικών, όπως τροποποιήθηκε και ισχύει.</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12 Απριλίου 2023</w:t>
      </w:r>
    </w:p>
    <w:p>
      <w:pPr>
        <w:spacing w:before="240" w:after="240"/>
        <w:rPr>
          <w:lang w:val="el" w:eastAsia="el"/>
        </w:rPr>
      </w:pPr>
      <w:r>
        <w:rPr>
          <w:lang w:val="el" w:eastAsia="el"/>
        </w:rPr>
        <w:t>Ο Υπουργός</w:t>
      </w:r>
    </w:p>
    <w:p>
      <w:pPr>
        <w:spacing w:before="240" w:after="240"/>
        <w:rPr>
          <w:lang w:val="el" w:eastAsia="el"/>
        </w:rPr>
      </w:pPr>
      <w:r>
        <w:rPr>
          <w:b/>
          <w:bCs/>
          <w:lang w:val="el" w:eastAsia="el"/>
        </w:rPr>
        <w:t>ΧΡΗΣΤΟΣ ΣΤΑΪΚΟΥΡΑΣ</w:t>
      </w:r>
    </w:p>
    <w:p>
      <w:pPr>
        <w:spacing w:before="240" w:after="240"/>
        <w:rPr>
          <w:lang w:val="el" w:eastAsia="el"/>
        </w:rPr>
      </w:pPr>
      <w:r>
        <w:rPr>
          <w:b/>
          <w:bCs/>
          <w:lang w:val="el" w:eastAsia="el"/>
        </w:rPr>
        <w:t>Ι</w:t>
      </w:r>
    </w:p>
    <w:p>
      <w:pPr>
        <w:spacing w:before="240" w:after="240"/>
        <w:rPr>
          <w:lang w:val="el" w:eastAsia="el"/>
        </w:rPr>
      </w:pPr>
      <w:r>
        <w:rPr>
          <w:b/>
          <w:bCs/>
          <w:lang w:val="el" w:eastAsia="el"/>
        </w:rPr>
        <w:t>ΔΙΟΡΘΩΣΕΙΣ ΣΦΑΛΜΑΤΩΝ</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ebgate.ec.europa.eu/"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