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ΔΙΔΑΔ/Φ.64/99</w:t>
      </w:r>
      <w:r>
        <w:rPr>
          <w:lang w:val="el" w:eastAsia="el"/>
        </w:rPr>
        <w:t xml:space="preserve">6/οικ.6766 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υπό στοιχεία ΔΙΔΑΔ/Φ.64/946/ οικ. 858/19-1-2023 (Β’ 343, ΑΔΑ: 923046ΜΤΛ6-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4ΘΨ) απόφασης με θέμα «Πρόληψη και αντιμετώπιση φαινομένων βίας και παρενόχλησης στην εργασία σε φορείς του Δημοσίου».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ΕΣΩΤΕΡΙΚΩΝ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Την παρ. 4 του άρθρου 22 του ν. 4808/2021 «Για την Προστασία της Εργασίας - Σύσταση Ανεξάρτητης Αρχής “Επιθεώρηση Εργασίας” - Κύρωση της Σύμβασης 190 της Διεθνούς Οργάνωσης Εργασίας για την εξάλειψη της βίας και παρενόχλησης στον κόσμο της εργασίας - Κύρωση της Σύμβασης 187 της Διεθνούς Οργάνωσης Εργασίας για τo Πλαίσιο Προώθησης της Ασφάλειας και της Υγείας στην Εργασία - Ενσωμάτωση της Οδηγίας (ΕΕ) 2019/1158 του Ευρωπαϊκού Κοινοβουλίου και του Συμβουλίου της 20ής Ιουνίου 2019 για την ισορροπία μεταξύ της επαγγελματικής και της ιδιωτικής ζωής, άλλες διατάξεις -του Υπουργείου Εργασίας και Κοινωνικών Υποθέσεων και λοιπές επείγουσες ρυθμίσεις» (Α’ 101).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 άρθρο 90 του Κώδικα της νομοθεσίας για την Κυβέρνηση και τα κυβερνητικά όργανα (άρθρο πρώτο του π.δ. 63/2005, Α’ 98), το οποίο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π.δ. 84/2019 «Σύσταση και κατάργηση Γενικών Γραμματειών και Ειδικών Γραμματειών/Ενιαίων Διοικητικών Τομέων Υπουργείων» (Α’ 123).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π.δ. 2/2021 «Διορισμός Υπουργών, Αναπληρωτών Υπουργών και Υφυπουργών» (Α’ 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π.δ. 133/2017 «Οργανισμός του Υπουργείου Διοικητικής Ανασυγκρότησης» (Α’ 161)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υπό στοιχεία ΔΙΔΑΔ/Φ.64/946/οικ. 858/ 19.1.2023 απόφαση με θέμα «Πρόληψη και αντιμετώπιση φαινομένων βίας και παρενόχλησης στην εργασία σε φορείς του Δημοσίου» (Β’ 343, ΑΔΑ: 923046ΜΤΛ6-4ΘΨ).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η έκδοση της παρούσας απόφασης δεν προκαλεί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Τροποποιείται η υπό στοιχεία ΔΙΔΑΔ/Φ.64/946/ οικ.858/19.1.2023 (Β’ 343, ΑΔΑ: 923046ΜΤΛ6- 4ΘΨ) απόφαση με θέμα «Πρόληψη και αντιμετώπιση φαινομένων βίας και παρενόχλησης στην εργασία σε φορείς του Δημοσίου», ως εξής: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1.1.</w:t>
      </w:r>
      <w:r>
        <w:rPr>
          <w:lang w:val="el" w:eastAsia="el"/>
        </w:rPr>
        <w:t xml:space="preserve"> Η περ. α της παρ. 1 του άρθρου 5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«α) ενώπιον του Συνηγόρου του Πολίτη σύμφωνα με τον ν. 3896/2010 (Α’ 207) και τον ν. 4443/2016 (Α’ 232)»,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1.2.</w:t>
      </w:r>
      <w:r>
        <w:rPr>
          <w:lang w:val="el" w:eastAsia="el"/>
        </w:rPr>
        <w:t xml:space="preserve"> Η παρ. 4 του άρθρου 5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«4. Η Εθνική Αρχή Διαφάνειας πέραν της ενεργειών της παρ. 3, διερευνά και τυχόν πειθαρχικές ευθύνες του οργάνου ενώπιον του οποίου υποβλήθηκε η καταγγελία και υπαιτίως καθυστέρησε την εξέταση της καταγγελίας, με εξαίρεση τις περιπτώσεις υποβολής της καταγγελίας ενώπιον του Συνηγόρου του Πολίτη.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Κατά τα λοιπά ισχύει η υπό στοιχεία ΔΙΔΑΔ/Φ.64/ 946/οικ.858/19.1.2023, (Β’ 343, ΑΔΑ: 923046ΜΤΛ6-4ΘΨ)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Αθήνα,19 Απριλίου 2023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ΜΑΥΡΟΥΔΗΣ ΒΟΡΙΔΗΣ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