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spacing w:before="240" w:after="240"/>
        <w:rPr>
          <w:lang w:val="el" w:eastAsia="el"/>
        </w:rPr>
      </w:pPr>
      <w:r>
        <w:rPr>
          <w:b/>
          <w:bCs/>
          <w:lang w:val="el" w:eastAsia="el"/>
        </w:rPr>
        <w:t>ΑΔΑ: 6ΖΚ846ΜΠ3Ζ-34Γ</w:t>
      </w:r>
    </w:p>
    <w:p>
      <w:pPr>
        <w:spacing w:before="240" w:after="240"/>
        <w:rPr>
          <w:lang w:val="el" w:eastAsia="el"/>
        </w:rPr>
      </w:pPr>
      <w:r>
        <w:rPr>
          <w:b/>
          <w:bCs/>
          <w:lang w:val="el" w:eastAsia="el"/>
        </w:rPr>
        <w:t>Αριθ. ΦΕΚ: 2678 Β΄/ 21.4.2023</w:t>
      </w:r>
    </w:p>
    <w:p>
      <w:pPr>
        <w:spacing w:before="240" w:after="240"/>
        <w:rPr>
          <w:lang w:val="el" w:eastAsia="el"/>
        </w:rPr>
      </w:pPr>
      <w:r>
        <w:rPr>
          <w:b/>
          <w:bCs/>
          <w:lang w:val="el" w:eastAsia="el"/>
        </w:rPr>
        <w:t>Αθήνα, 21 Απριλίου 2023</w:t>
      </w:r>
    </w:p>
    <w:p>
      <w:pPr>
        <w:spacing w:before="240" w:after="240"/>
        <w:rPr>
          <w:lang w:val="el" w:eastAsia="el"/>
        </w:rPr>
      </w:pPr>
      <w:r>
        <w:rPr>
          <w:b/>
          <w:bCs/>
          <w:lang w:val="el" w:eastAsia="el"/>
        </w:rPr>
        <w:t>Α.1053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Τροποποίηση της υπό στοιχεία Α.1105/29.7.2022 κοινής απόφασης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 (Β’4190).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 Ο ΥΠΟΥΡΓΟΣ ΑΝΑΠΤΥΞΗΣ ΚΑΙ ΕΠΕΝΔΥΣΕΩΝ ΚΑΙΟ ΥΦΥΠΟΥΡΓΟΣ ΣΤΟΝ ΠΡΩΘΥΠΟΥΡΓΟ</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81 του ν. 4949/2022 «Ενσωμάτωση της παρ. 5 του άρθρου 1 της Οδηγίας (ΕΕ) 2017/952 του Συμβουλίου της 29ης Μαΐου 2017 για την τροποποίηση της Οδηγίας (ΕΕ) 2016/1164 όσον αφορά τις ασυμφωνίες στη μεταχείριση υβριδικών μέσων με τρίτες χώρες (L144), κύρωση της Σύμβασης μεταξύ του Ελληνικού Δημοσίου και της Επιχείρησης Καζίνο Ευρέoς Φάσματος Ελληνικού Ανώνυμη Εταιρεία για την παραχώρηση άδειας λειτουργίας επιχείρησης καζίνο (ΕΚΑΖ) ευρέος φάσματος δραστηριοτήτων στον Μητροπολιτικό Πόλο Ελληνικού - Αγίου Κοσμά, θέσπιση ολοκληρωμένου πλαισίου για την απόδοση βιώσιμης προοπτικής ανάπτυξης και την εκ νέου λειτουργία των Ναυπηγείων Σκαραμαγκά, τροποποιήσεις του Κώδικα Αναγκαστικών Απαλλοτριώσεων Ακινήτων και του Οργανισμού του Νομικού Συμβουλίου του Κράτους, επείγουσες φορολογικές και τελωνειακές ρυθμίσεις και άλλες επείγουσες διατάξεις» (Α΄126).</w:t>
      </w:r>
    </w:p>
    <w:p>
      <w:pPr>
        <w:spacing w:before="240" w:after="240"/>
        <w:rPr>
          <w:lang w:val="el" w:eastAsia="el"/>
        </w:rPr>
      </w:pPr>
      <w:r>
        <w:rPr>
          <w:lang w:val="el" w:eastAsia="el"/>
        </w:rPr>
        <w:t xml:space="preserve">2. </w:t>
      </w:r>
      <w:r>
        <w:rPr>
          <w:b/>
          <w:bCs/>
          <w:lang w:val="el" w:eastAsia="el"/>
        </w:rPr>
        <w:t>Το άρθρο 107 της Συνθήκης για τη Λειτουργία της Ευρωπαϊκής Ένωσης (ΣΛΕΕ) και ιδίως το στοιχείο β΄της παρ. 3 του άρθρου αυτού.</w:t>
      </w:r>
    </w:p>
    <w:p>
      <w:pPr>
        <w:spacing w:before="240" w:after="240"/>
        <w:rPr>
          <w:lang w:val="el" w:eastAsia="el"/>
        </w:rPr>
      </w:pPr>
      <w:r>
        <w:rPr>
          <w:lang w:val="el" w:eastAsia="el"/>
        </w:rPr>
        <w:t xml:space="preserve">3. </w:t>
      </w:r>
      <w:r>
        <w:rPr>
          <w:b/>
          <w:bCs/>
          <w:lang w:val="el" w:eastAsia="el"/>
        </w:rPr>
        <w:t>Τον 1407/2013 Κανονισμό (ΕΕ)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spacing w:before="240" w:after="240"/>
        <w:rPr>
          <w:lang w:val="el" w:eastAsia="el"/>
        </w:rPr>
      </w:pPr>
      <w:r>
        <w:rPr>
          <w:lang w:val="el" w:eastAsia="el"/>
        </w:rPr>
        <w:t xml:space="preserve">4. </w:t>
      </w:r>
      <w:r>
        <w:rPr>
          <w:b/>
          <w:bCs/>
          <w:lang w:val="el" w:eastAsia="el"/>
        </w:rPr>
        <w:t>Τον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spacing w:before="240" w:after="240"/>
        <w:rPr>
          <w:lang w:val="el" w:eastAsia="el"/>
        </w:rPr>
      </w:pPr>
      <w:r>
        <w:rPr>
          <w:lang w:val="el" w:eastAsia="el"/>
        </w:rPr>
        <w:t xml:space="preserve">5. </w:t>
      </w:r>
      <w:r>
        <w:rPr>
          <w:b/>
          <w:bCs/>
          <w:lang w:val="el" w:eastAsia="el"/>
        </w:rPr>
        <w:t>Τον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(L 347), όπως τροποποιήθηκε με τον Κανονισμό (ΕΕ) υπ΄αρ. 460/2020 (L 099).</w:t>
      </w:r>
    </w:p>
    <w:p>
      <w:pPr>
        <w:spacing w:before="240" w:after="240"/>
        <w:rPr>
          <w:lang w:val="el" w:eastAsia="el"/>
        </w:rPr>
      </w:pPr>
      <w:r>
        <w:rPr>
          <w:lang w:val="el" w:eastAsia="el"/>
        </w:rPr>
        <w:t xml:space="preserve">6. </w:t>
      </w:r>
      <w:r>
        <w:rPr>
          <w:b/>
          <w:bCs/>
          <w:lang w:val="el" w:eastAsia="el"/>
        </w:rPr>
        <w:t>Την υπ΄αρ. (2020) 6860/23.9.2022 εγκριτική απόφαση περί έγκρισης καθεστώτος κρατικής ενίσχυσης.</w:t>
      </w:r>
    </w:p>
    <w:p>
      <w:pPr>
        <w:spacing w:before="240" w:after="240"/>
        <w:rPr>
          <w:lang w:val="el" w:eastAsia="el"/>
        </w:rPr>
      </w:pPr>
      <w:r>
        <w:rPr>
          <w:lang w:val="el" w:eastAsia="el"/>
        </w:rPr>
        <w:t xml:space="preserve">7. </w:t>
      </w:r>
      <w:r>
        <w:rPr>
          <w:b/>
          <w:bCs/>
          <w:lang w:val="el" w:eastAsia="el"/>
        </w:rPr>
        <w:t>Τον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(L 347).</w:t>
      </w:r>
    </w:p>
    <w:p>
      <w:pPr>
        <w:spacing w:before="240" w:after="240"/>
        <w:rPr>
          <w:lang w:val="el" w:eastAsia="el"/>
        </w:rPr>
      </w:pPr>
      <w:r>
        <w:rPr>
          <w:lang w:val="el" w:eastAsia="el"/>
        </w:rPr>
        <w:t xml:space="preserve">8. </w:t>
      </w:r>
      <w:r>
        <w:rPr>
          <w:b/>
          <w:bCs/>
          <w:lang w:val="el" w:eastAsia="el"/>
        </w:rPr>
        <w:t>Τον ν.4314/2014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w:t>
      </w:r>
      <w:r>
        <w:rPr>
          <w:b/>
          <w:bCs/>
          <w:sz w:val="30"/>
          <w:szCs w:val="30"/>
          <w:vertAlign w:val="superscript"/>
          <w:lang w:val="el" w:eastAsia="el"/>
        </w:rPr>
        <w:t>ης</w:t>
      </w:r>
      <w:r>
        <w:rPr>
          <w:b/>
          <w:bCs/>
          <w:lang w:val="el" w:eastAsia="el"/>
        </w:rPr>
        <w:t xml:space="preserve"> Ιουνίου 2012 (ΕΕ L 156/16.6.2012) στο ελληνικό δίκαιο, τροποποίηση του ν.3419/2005 (Α 297) και άλλες διατάξεις» (Α΄265).</w:t>
      </w:r>
    </w:p>
    <w:p>
      <w:pPr>
        <w:spacing w:before="240" w:after="240"/>
        <w:rPr>
          <w:lang w:val="el" w:eastAsia="el"/>
        </w:rPr>
      </w:pPr>
      <w:r>
        <w:rPr>
          <w:lang w:val="el" w:eastAsia="el"/>
        </w:rPr>
        <w:t xml:space="preserve">9. </w:t>
      </w:r>
      <w:r>
        <w:rPr>
          <w:b/>
          <w:bCs/>
          <w:lang w:val="el" w:eastAsia="el"/>
        </w:rPr>
        <w:t>Τον ν.4270/2014 «Αρχές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lang w:val="el" w:eastAsia="el"/>
        </w:rPr>
        <w:t xml:space="preserve">10. </w:t>
      </w:r>
      <w:r>
        <w:rPr>
          <w:b/>
          <w:bCs/>
          <w:lang w:val="el" w:eastAsia="el"/>
        </w:rPr>
        <w:t>Τον Κώδικα εισπράξεως Δημοσίων Εσόδων (ν. 4978/2022, Α΄190).</w:t>
      </w:r>
    </w:p>
    <w:p>
      <w:pPr>
        <w:spacing w:before="240" w:after="240"/>
        <w:rPr>
          <w:lang w:val="el" w:eastAsia="el"/>
        </w:rPr>
      </w:pPr>
      <w:r>
        <w:rPr>
          <w:lang w:val="el" w:eastAsia="el"/>
        </w:rPr>
        <w:t xml:space="preserve">11. </w:t>
      </w:r>
      <w:r>
        <w:rPr>
          <w:b/>
          <w:bCs/>
          <w:lang w:val="el" w:eastAsia="el"/>
        </w:rPr>
        <w:t>Το π.δ. 2/2021 «Διορισμός Υπουργών, Αναπληρωτών Υπουργών και Υφυπουργών» (Α΄2).</w:t>
      </w:r>
    </w:p>
    <w:p>
      <w:pPr>
        <w:spacing w:before="240" w:after="240"/>
        <w:rPr>
          <w:lang w:val="el" w:eastAsia="el"/>
        </w:rPr>
      </w:pPr>
      <w:r>
        <w:rPr>
          <w:lang w:val="el" w:eastAsia="el"/>
        </w:rPr>
        <w:t xml:space="preserve">12. </w:t>
      </w:r>
      <w:r>
        <w:rPr>
          <w:b/>
          <w:bCs/>
          <w:lang w:val="el" w:eastAsia="el"/>
        </w:rPr>
        <w:t>Το π.δ. 62/2020 «Διορισμός Αναπληρωτών Υπουργών και Υφυπουργών» (Α΄ 155).</w:t>
      </w:r>
    </w:p>
    <w:p>
      <w:pPr>
        <w:spacing w:before="240" w:after="240"/>
        <w:rPr>
          <w:lang w:val="el" w:eastAsia="el"/>
        </w:rPr>
      </w:pPr>
      <w:r>
        <w:rPr>
          <w:lang w:val="el" w:eastAsia="el"/>
        </w:rPr>
        <w:t xml:space="preserve">13.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 xml:space="preserve">14. </w:t>
      </w:r>
      <w:r>
        <w:rPr>
          <w:b/>
          <w:bCs/>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 xml:space="preserve">15. </w:t>
      </w:r>
      <w:r>
        <w:rPr>
          <w:b/>
          <w:bCs/>
          <w:lang w:val="el" w:eastAsia="el"/>
        </w:rPr>
        <w:t>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 xml:space="preserve">16.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17. </w:t>
      </w:r>
      <w:r>
        <w:rPr>
          <w:b/>
          <w:bCs/>
          <w:lang w:val="el" w:eastAsia="el"/>
        </w:rPr>
        <w:t>Το π.δ. 98/2020 «Οργανισμός της Προεδρίας της Κυβέρνησης» (Α΄ 236).</w:t>
      </w:r>
    </w:p>
    <w:p>
      <w:pPr>
        <w:spacing w:before="240" w:after="240"/>
        <w:rPr>
          <w:lang w:val="el" w:eastAsia="el"/>
        </w:rPr>
      </w:pPr>
      <w:r>
        <w:rPr>
          <w:lang w:val="el" w:eastAsia="el"/>
        </w:rPr>
        <w:t xml:space="preserve">18. </w:t>
      </w:r>
      <w:r>
        <w:rPr>
          <w:b/>
          <w:bCs/>
          <w:lang w:val="el" w:eastAsia="el"/>
        </w:rPr>
        <w:t>Το π.δ. 80/2016 «Ανάληψη υποχρεώσεων από τους διατάκτες» (Α΄145).</w:t>
      </w:r>
    </w:p>
    <w:p>
      <w:pPr>
        <w:spacing w:before="240" w:after="240"/>
        <w:rPr>
          <w:lang w:val="el" w:eastAsia="el"/>
        </w:rPr>
      </w:pPr>
      <w:r>
        <w:rPr>
          <w:lang w:val="el" w:eastAsia="el"/>
        </w:rPr>
        <w:t xml:space="preserve">19. </w:t>
      </w:r>
      <w:r>
        <w:rPr>
          <w:b/>
          <w:bCs/>
          <w:lang w:val="el" w:eastAsia="el"/>
        </w:rPr>
        <w:t>Το άρθρο 90 του Κώδικα Νομοθεσίας για την Κυβέρνηση και τα Κυβερνητικά Όργανα, (π.δ. 63/2005, Α΄98), όπως διατηρήθηκε σε ισχύ με την παρ. 22 του άρθρου 119 του ν.4622/2019 (Α’133).</w:t>
      </w:r>
    </w:p>
    <w:p>
      <w:pPr>
        <w:spacing w:before="240" w:after="240"/>
        <w:rPr>
          <w:lang w:val="el" w:eastAsia="el"/>
        </w:rPr>
      </w:pPr>
      <w:r>
        <w:rPr>
          <w:b/>
          <w:bCs/>
          <w:lang w:val="el" w:eastAsia="el"/>
        </w:rPr>
        <w:t>Την υπό στοιχεία Υ26/13.08.2021 απόφαση του Πρωθυπουργού «Ανάθεση αρμοδιοτήτων στον Υφυπουργό στον Πρωθυπουργό, Ιωάννη Οικονόμου » (Β’ 3788).</w:t>
      </w:r>
    </w:p>
    <w:p>
      <w:pPr>
        <w:spacing w:before="240" w:after="240"/>
        <w:rPr>
          <w:lang w:val="el" w:eastAsia="el"/>
        </w:rPr>
      </w:pPr>
      <w:r>
        <w:rPr>
          <w:b/>
          <w:bCs/>
          <w:lang w:val="el" w:eastAsia="el"/>
        </w:rPr>
        <w:t>Tην υπό στοιχεία Y70/30.10.2020 απόφαση του Πρωθυπουργού «Ανάθεση αρμοδιοτήτων στον Αναπληρωτή Υπουργό Οικονομικών, Θεόδωρο Σκυλακάκη» (Β΄4805).</w:t>
      </w:r>
    </w:p>
    <w:p>
      <w:pPr>
        <w:spacing w:before="240" w:after="240"/>
        <w:rPr>
          <w:lang w:val="el" w:eastAsia="el"/>
        </w:rPr>
      </w:pPr>
      <w:r>
        <w:rPr>
          <w:lang w:val="el" w:eastAsia="el"/>
        </w:rPr>
        <w:t xml:space="preserve">22. </w:t>
      </w:r>
      <w:r>
        <w:rPr>
          <w:b/>
          <w:bCs/>
          <w:lang w:val="el" w:eastAsia="el"/>
        </w:rPr>
        <w:t>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23.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24. </w:t>
      </w:r>
      <w:r>
        <w:rPr>
          <w:b/>
          <w:bCs/>
          <w:lang w:val="el" w:eastAsia="el"/>
        </w:rPr>
        <w:t>Την υπ΄αρ.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(Β΄1867).</w:t>
      </w:r>
    </w:p>
    <w:p>
      <w:pPr>
        <w:spacing w:before="240" w:after="240"/>
        <w:rPr>
          <w:lang w:val="el" w:eastAsia="el"/>
        </w:rPr>
      </w:pPr>
      <w:r>
        <w:rPr>
          <w:lang w:val="el" w:eastAsia="el"/>
        </w:rPr>
        <w:t xml:space="preserve">25.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26. </w:t>
      </w:r>
      <w:r>
        <w:rPr>
          <w:b/>
          <w:bCs/>
          <w:lang w:val="el" w:eastAsia="el"/>
        </w:rPr>
        <w:t>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46274/26.9.2014, (Β’2573)» (Β΄2857).</w:t>
      </w:r>
    </w:p>
    <w:p>
      <w:pPr>
        <w:spacing w:before="240" w:after="240"/>
        <w:rPr>
          <w:lang w:val="el" w:eastAsia="el"/>
        </w:rPr>
      </w:pPr>
      <w:r>
        <w:rPr>
          <w:lang w:val="el" w:eastAsia="el"/>
        </w:rPr>
        <w:t xml:space="preserve">27. </w:t>
      </w:r>
      <w:r>
        <w:rPr>
          <w:b/>
          <w:bCs/>
          <w:lang w:val="el" w:eastAsia="el"/>
        </w:rPr>
        <w:t>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(Β΄2784).</w:t>
      </w:r>
    </w:p>
    <w:p>
      <w:pPr>
        <w:spacing w:before="240" w:after="240"/>
        <w:rPr>
          <w:lang w:val="el" w:eastAsia="el"/>
        </w:rPr>
      </w:pPr>
      <w:r>
        <w:rPr>
          <w:lang w:val="el" w:eastAsia="el"/>
        </w:rPr>
        <w:t xml:space="preserve">28. </w:t>
      </w:r>
      <w:r>
        <w:rPr>
          <w:b/>
          <w:bCs/>
          <w:lang w:val="el" w:eastAsia="el"/>
        </w:rPr>
        <w:t>Την υπ’ αρ. 109/12-3-2019 Πράξη του Διοικητή της Τράπεζας της Ελλάδος.</w:t>
      </w:r>
    </w:p>
    <w:p>
      <w:pPr>
        <w:spacing w:before="240" w:after="240"/>
        <w:rPr>
          <w:lang w:val="el" w:eastAsia="el"/>
        </w:rPr>
      </w:pPr>
      <w:r>
        <w:rPr>
          <w:lang w:val="el" w:eastAsia="el"/>
        </w:rPr>
        <w:t xml:space="preserve">29. </w:t>
      </w:r>
      <w:r>
        <w:rPr>
          <w:b/>
          <w:bCs/>
          <w:lang w:val="el" w:eastAsia="el"/>
        </w:rPr>
        <w:t>Την από 17.10.2022 εισήγηση του Διοικητή της Ανεξάρτητης Αρχής Δημοσίων Εσόδων (ΑΑΔΕ).</w:t>
      </w:r>
    </w:p>
    <w:p>
      <w:pPr>
        <w:spacing w:before="240" w:after="240"/>
        <w:rPr>
          <w:lang w:val="el" w:eastAsia="el"/>
        </w:rPr>
      </w:pPr>
      <w:r>
        <w:rPr>
          <w:lang w:val="el" w:eastAsia="el"/>
        </w:rPr>
        <w:t xml:space="preserve">30. </w:t>
      </w:r>
      <w:r>
        <w:rPr>
          <w:b/>
          <w:bCs/>
          <w:lang w:val="el" w:eastAsia="el"/>
        </w:rPr>
        <w:t>Την υπό στοιχεία 151997 ΕΞ 2022/18.10.2022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 xml:space="preserve">31. </w:t>
      </w:r>
      <w:r>
        <w:rPr>
          <w:b/>
          <w:bCs/>
          <w:lang w:val="el" w:eastAsia="el"/>
        </w:rPr>
        <w:t>Την υπό στοιχεία Α.1105/29.07.2022 κοινή απόφαση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 (Β’4190).</w:t>
      </w:r>
    </w:p>
    <w:p>
      <w:pPr>
        <w:spacing w:before="240" w:after="240"/>
        <w:rPr>
          <w:lang w:val="el" w:eastAsia="el"/>
        </w:rPr>
      </w:pPr>
      <w:r>
        <w:rPr>
          <w:lang w:val="el" w:eastAsia="el"/>
        </w:rPr>
        <w:t xml:space="preserve">32. </w:t>
      </w:r>
      <w:r>
        <w:rPr>
          <w:b/>
          <w:bCs/>
          <w:lang w:val="el" w:eastAsia="el"/>
        </w:rPr>
        <w:t>Την ανάγκη επικαιροποίησης της απόφασης υπό στοιχεία Α.1105/2022 αναφορικά με την θεσμοθετημένη επιχορήγηση του μεταφορικού κόστους και του κόστους δημοσιογραφικού χάρτου των εκδοτικών επιχειρήσεων.</w:t>
      </w:r>
    </w:p>
    <w:p>
      <w:pPr>
        <w:spacing w:before="240" w:after="240"/>
        <w:rPr>
          <w:lang w:val="el" w:eastAsia="el"/>
        </w:rPr>
      </w:pPr>
      <w:r>
        <w:rPr>
          <w:lang w:val="el" w:eastAsia="el"/>
        </w:rPr>
        <w:t xml:space="preserve">33. </w:t>
      </w:r>
      <w:r>
        <w:rPr>
          <w:b/>
          <w:bCs/>
          <w:lang w:val="el" w:eastAsia="el"/>
        </w:rPr>
        <w:t>Το γεγονός ότι, από τις διατάξεις της παρούσας απόφασης, δεν προκαλείται επιπλέον δαπάνη στον κρατικό προϋπολογισμό πέραν αυτής που προκλήθηκε με τον ν.4949/2022, όπως τροποποιήθηκε με το άρθρο 88 του ν.4982/2022 καθόσον με την παρούσα ρυθμίζονται θέματα διαδικαστικού χαρακτήρα.</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Α.1105/29.07.2022 κοινή απόφαση του Αναπληρωτή Υπουργού Οικονομικών, του Υφυπουργού Οικονομικών και του Υφυπουργού στον Πρωθυπουργό, ως ακολούθως:</w:t>
      </w:r>
    </w:p>
    <w:p>
      <w:pPr>
        <w:spacing w:before="240" w:after="240"/>
        <w:rPr>
          <w:lang w:val="el" w:eastAsia="el"/>
        </w:rPr>
      </w:pPr>
      <w:r>
        <w:rPr>
          <w:lang w:val="el" w:eastAsia="el"/>
        </w:rPr>
        <w:t xml:space="preserve">1. </w:t>
      </w:r>
      <w:r>
        <w:rPr>
          <w:b/>
          <w:bCs/>
          <w:lang w:val="el" w:eastAsia="el"/>
        </w:rPr>
        <w:t>Το άρθρο 3 αντικαθίσταται ως εξής:</w:t>
      </w:r>
    </w:p>
    <w:p>
      <w:pPr>
        <w:spacing w:before="240" w:after="240"/>
        <w:rPr>
          <w:lang w:val="el" w:eastAsia="el"/>
        </w:rPr>
      </w:pPr>
      <w:r>
        <w:rPr>
          <w:b/>
          <w:bCs/>
          <w:lang w:val="el" w:eastAsia="el"/>
        </w:rPr>
        <w:t>«1. Δικαιούχοι λήπτες της ενίσχυσης είναι οι επιχειρήσεις/οντότητες που έχουν κύριο ή δευτερεύοντα Κωδικό Αριθμό Δραστηριότητας (ΚΑΔ) κατά την 31η/12/2021 έναν από τους περιγραφόμενους στο Παράρτημα Ι, το οποίο αποτελεί αναπόσπαστο μέρος της παρούσας και οι οποίες υπόκεινται στις διατάξεις του άρθρου 1 του ν.4308/2014 (Α’ 251), ανεξαρτήτως κατηγορίας τηρούμενων βιβλίων.</w:t>
      </w:r>
    </w:p>
    <w:p>
      <w:pPr>
        <w:spacing w:before="240" w:after="240"/>
        <w:rPr>
          <w:lang w:val="el" w:eastAsia="el"/>
        </w:rPr>
      </w:pPr>
      <w:r>
        <w:rPr>
          <w:lang w:val="el" w:eastAsia="el"/>
        </w:rPr>
        <w:t xml:space="preserve">2. </w:t>
      </w:r>
      <w:r>
        <w:rPr>
          <w:b/>
          <w:bCs/>
          <w:lang w:val="el" w:eastAsia="el"/>
        </w:rPr>
        <w:t>Οι επιχειρήσεις της προηγούμενης παραγράφου πρέπει να πληρούν επιπλέον σωρευτικά τα κάτωθι κριτήρια:</w:t>
      </w:r>
    </w:p>
    <w:p>
      <w:pPr>
        <w:spacing w:before="240" w:after="240"/>
        <w:rPr>
          <w:lang w:val="el" w:eastAsia="el"/>
        </w:rPr>
      </w:pPr>
      <w:r>
        <w:rPr>
          <w:b/>
          <w:bCs/>
          <w:lang w:val="el" w:eastAsia="el"/>
        </w:rPr>
        <w:t>α) Έχουν την έδρα τους ή μόνιμη εγκατάσταση στην Ελλάδα και λειτουργούν νομίμως.</w:t>
      </w:r>
    </w:p>
    <w:p>
      <w:pPr>
        <w:spacing w:before="240" w:after="240"/>
        <w:rPr>
          <w:lang w:val="el" w:eastAsia="el"/>
        </w:rPr>
      </w:pPr>
      <w:r>
        <w:rPr>
          <w:b/>
          <w:bCs/>
          <w:lang w:val="el" w:eastAsia="el"/>
        </w:rPr>
        <w:t>β) Έχουν υποβάλει τις δηλώσεις φόρου εισοδήματος και ΦΠΑ, εφόσον είχαν κατά νόμο υποχρέωση υποβολής αυτών, ως εξής:</w:t>
      </w:r>
    </w:p>
    <w:p>
      <w:pPr>
        <w:spacing w:before="240" w:after="240"/>
        <w:rPr>
          <w:lang w:val="el" w:eastAsia="el"/>
        </w:rPr>
      </w:pPr>
      <w:r>
        <w:rPr>
          <w:b/>
          <w:bCs/>
          <w:lang w:val="el" w:eastAsia="el"/>
        </w:rPr>
        <w:t>βα) μέχρι και την προηγούμενη ημέρα από την έναρξη ισχύος της παρούσας απόφασης, έχουν υποβάλει δήλωση φορολογίας εισοδήματος για το προηγούμενο φορολογικό έτος,</w:t>
      </w:r>
    </w:p>
    <w:p>
      <w:pPr>
        <w:spacing w:before="240" w:after="240"/>
        <w:rPr>
          <w:lang w:val="el" w:eastAsia="el"/>
        </w:rPr>
      </w:pPr>
      <w:r>
        <w:rPr>
          <w:b/>
          <w:bCs/>
          <w:lang w:val="el" w:eastAsia="el"/>
        </w:rPr>
        <w:t>ββ) μέχρι και την προηγούμενη ημέρα από την έναρξη ισχύος της παρούσας απόφασης, έχουν υποβάλει δηλώσεις ΦΠΑ για το 2021 και μέχρι την 31η Μαρτίου 2022.</w:t>
      </w:r>
    </w:p>
    <w:p>
      <w:pPr>
        <w:spacing w:before="240" w:after="240"/>
        <w:rPr>
          <w:lang w:val="el" w:eastAsia="el"/>
        </w:rPr>
      </w:pPr>
      <w:r>
        <w:rPr>
          <w:b/>
          <w:bCs/>
          <w:lang w:val="el" w:eastAsia="el"/>
        </w:rPr>
        <w:t>γ) Δεν έχουν τεθεί σε αδράνεια από την 1η Ιανουαρίου 2022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 και δ) Δεν έχει ανασταλεί, μέχρι και την ημερομηνία ελέγχου πληρωμής, η χρήση του Α.Φ.Μ. της επιχείρησης για τη διενέργεια ενδοκοινοτικών συναλλαγών σύμφωνα με την υπό στοιχεία ΓΓΔΕ ΠΟΛ. 1200/2015 απόφαση (εξαφανισμένος έμπορος), όπως αυτό προκύπτει από το φορολογικό Μητρώο της Α.Α.Δ.Ε.».</w:t>
      </w:r>
    </w:p>
    <w:p>
      <w:pPr>
        <w:spacing w:before="240" w:after="240"/>
        <w:rPr>
          <w:lang w:val="el" w:eastAsia="el"/>
        </w:rPr>
      </w:pPr>
      <w:r>
        <w:rPr>
          <w:lang w:val="el" w:eastAsia="el"/>
        </w:rPr>
        <w:t xml:space="preserve">2. </w:t>
      </w:r>
      <w:r>
        <w:rPr>
          <w:b/>
          <w:bCs/>
          <w:lang w:val="el" w:eastAsia="el"/>
        </w:rPr>
        <w:t>Η παρ. 7 του άρθρου 5 αντικαθίσταται ως εξής:</w:t>
      </w:r>
    </w:p>
    <w:p>
      <w:pPr>
        <w:spacing w:before="240" w:after="240"/>
        <w:rPr>
          <w:lang w:val="el" w:eastAsia="el"/>
        </w:rPr>
      </w:pPr>
      <w:r>
        <w:rPr>
          <w:b/>
          <w:bCs/>
          <w:lang w:val="el" w:eastAsia="el"/>
        </w:rPr>
        <w:t>«7. Εξαιρετικά, για τη χορήγηση της ως άνω ενίσχυσης που αφορά το ημερολογιακό έτος 2022, θεωρείται εμπρόθεσμη η υποβολή νέων αιτήσεων από επιχειρήσεις οι οποίες είτε δεν είχαν υποβάλει τις σχετικές αιτήσεις είτε αυτές είχαν απορριφθεί, εφόσον υποβληθούν εντός του χρονικού διαστήματος από την 24η Απριλίου έως και την 30η Απριλίου 2023.</w:t>
      </w:r>
    </w:p>
    <w:p>
      <w:pPr>
        <w:spacing w:before="240" w:after="240"/>
        <w:rPr>
          <w:lang w:val="el" w:eastAsia="el"/>
        </w:rPr>
      </w:pPr>
      <w:r>
        <w:rPr>
          <w:b/>
          <w:bCs/>
          <w:lang w:val="el" w:eastAsia="el"/>
        </w:rPr>
        <w:t>Δεν θα χορηγηθούν οικονομικές ενισχύσεις στους δικαιούχους του προηγούμενου εδαφίου πριν από την απόφαση έγκρισης της Ευρωπαϊκής Επιτροπής».</w:t>
      </w:r>
    </w:p>
    <w:p>
      <w:pPr>
        <w:spacing w:before="240" w:after="240"/>
        <w:rPr>
          <w:lang w:val="el" w:eastAsia="el"/>
        </w:rPr>
      </w:pPr>
      <w:r>
        <w:rPr>
          <w:b/>
          <w:bCs/>
          <w:lang w:val="el" w:eastAsia="el"/>
        </w:rPr>
        <w:t>Η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94"/>
        <w:gridCol w:w="6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ΑΝΑΠΛΗΡΩΤΗΣ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 Ο ΥΦΥΠΟΥΡΓΟΣ ΑΝΑΠΤΥΞΗΣ Ο ΥΦΥΠΟΥΡΓΟΣ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 ΚΑΙ ΕΠΕΝΔΥΣΕΩΝ ΣΤΟΝ ΠΡΩΘΥΠΟΥΡΓΟ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ΑΠΟΣΤΟΛΟΣ ΙΩΑΝΝΗΣ ΤΣΑΚΙΡΗΣ ΙΩΑΝΝΗΣ ΟΙΚΟΝΟΜΟΥ</w:t>
            </w:r>
          </w:p>
          <w:p>
            <w:pPr>
              <w:spacing w:before="240"/>
              <w:rPr>
                <w:b w:val="0"/>
                <w:bCs w:val="0"/>
                <w:i w:val="0"/>
                <w:iCs w:val="0"/>
                <w:smallCaps w:val="0"/>
                <w:color w:val="000000"/>
                <w:lang w:val="el" w:eastAsia="el"/>
              </w:rPr>
            </w:pPr>
            <w:r>
              <w:rPr>
                <w:b/>
                <w:bCs/>
                <w:i w:val="0"/>
                <w:iCs w:val="0"/>
                <w:smallCaps w:val="0"/>
                <w:color w:val="000000"/>
                <w:lang w:val="el" w:eastAsia="el"/>
              </w:rPr>
              <w:t>ΒΕΣΥΡΟΠΟΥΛΟΣ</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Γραφείου Υφυπουργού στον Πρωθυπουργό</w:t>
      </w:r>
    </w:p>
    <w:p>
      <w:pPr>
        <w:spacing w:before="240" w:after="240"/>
        <w:rPr>
          <w:lang w:val="el" w:eastAsia="el"/>
        </w:rPr>
      </w:pPr>
      <w:r>
        <w:rPr>
          <w:lang w:val="el" w:eastAsia="el"/>
        </w:rPr>
        <w:t xml:space="preserve">2. </w:t>
      </w:r>
      <w:r>
        <w:rPr>
          <w:b/>
          <w:bCs/>
          <w:lang w:val="el" w:eastAsia="el"/>
        </w:rPr>
        <w:t>Γραφείο Υπουργού Ανάπτυξης και Επενδύσεων</w:t>
      </w:r>
    </w:p>
    <w:p>
      <w:pPr>
        <w:spacing w:before="240" w:after="240"/>
        <w:rPr>
          <w:lang w:val="el" w:eastAsia="el"/>
        </w:rPr>
      </w:pPr>
      <w:r>
        <w:rPr>
          <w:lang w:val="el" w:eastAsia="el"/>
        </w:rPr>
        <w:t xml:space="preserve">3. </w:t>
      </w:r>
      <w:r>
        <w:rPr>
          <w:b/>
          <w:bCs/>
          <w:lang w:val="el" w:eastAsia="el"/>
        </w:rPr>
        <w:t>Γραφείο Υφυπουργού Ανάπτυξης και Επενδύσεων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Υπηρεσιακής Γραμματέως Υπουργείου Οικονομικών</w:t>
      </w:r>
    </w:p>
    <w:p>
      <w:pPr>
        <w:spacing w:before="240" w:after="240"/>
        <w:rPr>
          <w:lang w:val="el" w:eastAsia="el"/>
        </w:rPr>
      </w:pPr>
      <w:r>
        <w:rPr>
          <w:lang w:val="el" w:eastAsia="el"/>
        </w:rPr>
        <w:t xml:space="preserve">4. </w:t>
      </w:r>
      <w:r>
        <w:rPr>
          <w:b/>
          <w:bCs/>
          <w:lang w:val="el" w:eastAsia="el"/>
        </w:rPr>
        <w:t>Γραφεία Γενικών Γραμματέων Υπουργείου Οικονομικών</w:t>
      </w:r>
    </w:p>
    <w:p>
      <w:pPr>
        <w:spacing w:before="240" w:after="240"/>
        <w:rPr>
          <w:lang w:val="el" w:eastAsia="el"/>
        </w:rPr>
      </w:pPr>
      <w:r>
        <w:rPr>
          <w:lang w:val="el" w:eastAsia="el"/>
        </w:rPr>
        <w:t xml:space="preserve">5. </w:t>
      </w:r>
      <w:r>
        <w:rPr>
          <w:b/>
          <w:bCs/>
          <w:lang w:val="el" w:eastAsia="el"/>
        </w:rPr>
        <w:t>Γενική Διεύθυνση Οικονομικών Υπηρεσιών Υπουργείου Οικονομικών</w:t>
      </w:r>
    </w:p>
    <w:p>
      <w:pPr>
        <w:spacing w:before="240" w:after="240"/>
        <w:rPr>
          <w:lang w:val="el" w:eastAsia="el"/>
        </w:rPr>
      </w:pPr>
      <w:r>
        <w:rPr>
          <w:lang w:val="el" w:eastAsia="el"/>
        </w:rPr>
        <w:t xml:space="preserve">6.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7. </w:t>
      </w:r>
      <w:r>
        <w:rPr>
          <w:b/>
          <w:bCs/>
          <w:lang w:val="el" w:eastAsia="el"/>
        </w:rPr>
        <w:t>Γραφεία κ.κ. Γεν. Διευθυντών ΑΑΔΕ</w:t>
      </w:r>
    </w:p>
    <w:p>
      <w:pPr>
        <w:spacing w:before="240" w:after="240"/>
        <w:rPr>
          <w:lang w:val="el" w:eastAsia="el"/>
        </w:rPr>
      </w:pPr>
      <w:r>
        <w:rPr>
          <w:lang w:val="el" w:eastAsia="el"/>
        </w:rPr>
        <w:t xml:space="preserve">8. </w:t>
      </w:r>
      <w:r>
        <w:rPr>
          <w:b/>
          <w:bCs/>
          <w:lang w:val="el" w:eastAsia="el"/>
        </w:rPr>
        <w:t>Δ/νση Ελεγκτικών Διαδικασιών ΑΑΔΕ - Τμήμα Α’</w:t>
      </w:r>
    </w:p>
    <w:p>
      <w:pPr>
        <w:spacing w:before="240" w:after="240"/>
        <w:rPr>
          <w:lang w:val="el" w:eastAsia="el"/>
        </w:rPr>
      </w:pPr>
      <w:r>
        <w:rPr>
          <w:lang w:val="el" w:eastAsia="el"/>
        </w:rPr>
        <w:t xml:space="preserve">9. </w:t>
      </w:r>
      <w:r>
        <w:rPr>
          <w:b/>
          <w:bCs/>
          <w:lang w:val="el" w:eastAsia="el"/>
        </w:rPr>
        <w:t>Δ/νση Εισπράξεων και Επιστροφών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