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 οικ. 22470</w:t>
      </w:r>
    </w:p>
    <w:p>
      <w:pPr>
        <w:pStyle w:val="PreambelText"/>
        <w:spacing w:before="240" w:after="240"/>
        <w:rPr>
          <w:lang w:val="el" w:eastAsia="el"/>
        </w:rPr>
      </w:pPr>
      <w:r>
        <w:rPr>
          <w:b/>
          <w:bCs/>
          <w:lang w:val="el" w:eastAsia="el"/>
        </w:rPr>
        <w:t>Υλοποίηση Προγράμματος για τη μεταρρύθμιση της πρωτοβάθμιας υγειονομικής περίθαλψης (dentist pass).</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w:t>
      </w:r>
    </w:p>
    <w:p>
      <w:pPr>
        <w:pStyle w:val="PreambelText"/>
        <w:spacing w:before="240" w:after="240"/>
        <w:rPr>
          <w:lang w:val="el" w:eastAsia="el"/>
        </w:rPr>
      </w:pPr>
      <w:r>
        <w:rPr>
          <w:b/>
          <w:bCs/>
          <w:lang w:val="el" w:eastAsia="el"/>
        </w:rPr>
        <w:t>ΚΑΙ ΕΠΕΝΔΥΣΕΩΝ -</w:t>
      </w:r>
    </w:p>
    <w:p>
      <w:pPr>
        <w:pStyle w:val="PreambelText"/>
        <w:spacing w:before="240" w:after="240"/>
        <w:rPr>
          <w:lang w:val="el" w:eastAsia="el"/>
        </w:rPr>
      </w:pPr>
      <w:r>
        <w:rPr>
          <w:b/>
          <w:bCs/>
          <w:lang w:val="el" w:eastAsia="el"/>
        </w:rPr>
        <w:t>ΥΓΕΙΑΣ - ΨΗΦΙΑΚΗΣ ΔΙΑΚΥΒΕΡΝΗΣΗΣ-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β)</w:t>
      </w:r>
      <w:r>
        <w:rPr>
          <w:lang w:val="en" w:eastAsia="en"/>
        </w:rPr>
        <w:tab/>
      </w:r>
      <w:r>
        <w:rPr>
          <w:lang w:val="el" w:eastAsia="el"/>
        </w:rPr>
        <w:t>του άρθρου τρίτου του ν. 5015/2023 «Κύρωση: α) της από 22.11.2022 Επιμέρους Σύμβασης Δωρεάς Έργο ΧΙ, Παράρτημα 13 της από 6.9.2018 κύριας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β) της από 22.11.2022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 20),</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σφαλμάτων Α’ 126),</w:t>
      </w:r>
    </w:p>
    <w:p>
      <w:pPr>
        <w:pStyle w:val="StructureList1"/>
        <w:spacing w:before="120" w:after="0"/>
        <w:rPr>
          <w:lang w:val="el" w:eastAsia="el"/>
        </w:rPr>
      </w:pPr>
      <w:r>
        <w:rPr>
          <w:lang w:val="el" w:eastAsia="el"/>
        </w:rPr>
        <w:t>ιβ)</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ιγ)</w:t>
      </w:r>
      <w:r>
        <w:rPr>
          <w:lang w:val="en" w:eastAsia="en"/>
        </w:rPr>
        <w:tab/>
      </w:r>
      <w:r>
        <w:rPr>
          <w:lang w:val="el" w:eastAsia="el"/>
        </w:rPr>
        <w:t>του π.δ. 56/2021 «Διορισμός Υπουργoύ και Υφυπουργών» (Α’ 142),</w:t>
      </w:r>
    </w:p>
    <w:p>
      <w:pPr>
        <w:pStyle w:val="StructureList1"/>
        <w:spacing w:before="120" w:after="0"/>
        <w:rPr>
          <w:lang w:val="el" w:eastAsia="el"/>
        </w:rPr>
      </w:pPr>
      <w:r>
        <w:rPr>
          <w:lang w:val="el" w:eastAsia="el"/>
        </w:rPr>
        <w:t>ιδ)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ιζ)</w:t>
      </w:r>
      <w:r>
        <w:rPr>
          <w:lang w:val="en" w:eastAsia="en"/>
        </w:rPr>
        <w:tab/>
      </w:r>
      <w:r>
        <w:rPr>
          <w:lang w:val="el" w:eastAsia="el"/>
        </w:rPr>
        <w:t>του π.δ. 40/2020 «Οργανισμός του Υπουργείου Ψηφιακής Διακυβέρνησης» (Α’ 85) και</w:t>
      </w:r>
    </w:p>
    <w:p>
      <w:pPr>
        <w:pStyle w:val="StructureList1"/>
        <w:spacing w:before="120" w:after="0"/>
        <w:rPr>
          <w:lang w:val="el" w:eastAsia="el"/>
        </w:rPr>
      </w:pPr>
      <w:r>
        <w:rPr>
          <w:lang w:val="el" w:eastAsia="el"/>
        </w:rPr>
        <w:t>ιη)</w:t>
      </w:r>
      <w:r>
        <w:rPr>
          <w:lang w:val="en" w:eastAsia="en"/>
        </w:rPr>
        <w:tab/>
      </w:r>
      <w:r>
        <w:rPr>
          <w:lang w:val="el" w:eastAsia="el"/>
        </w:rPr>
        <w:t>του π.δ. 5/2022 «Οργανισμός Υπουργείου Ανάπτυξης και Επενδύσεων» (Α’ 160).</w:t>
      </w:r>
    </w:p>
    <w:p>
      <w:pPr>
        <w:pStyle w:val="PreambelText"/>
        <w:spacing w:before="240" w:after="240"/>
        <w:rPr>
          <w:lang w:val="el" w:eastAsia="el"/>
        </w:rPr>
      </w:pPr>
      <w:r>
        <w:rPr>
          <w:lang w:val="el" w:eastAsia="el"/>
        </w:rPr>
        <w:t>2.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4.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5. Την υπό στοιχεία 38427 ΕΞ 2021/29.10.2021 απόφαση του Υπουργού Επικρατείας «Τροποποίηση του καταστατικού της ανώνυμης εταιρείας “Κοινωνία της Πληροφορίας Α.Ε.” και κωδικοποίηση αυτού» (Β’ 5111).</w:t>
      </w:r>
    </w:p>
    <w:p>
      <w:pPr>
        <w:pStyle w:val="PreambelText"/>
        <w:spacing w:before="240" w:after="240"/>
        <w:rPr>
          <w:lang w:val="el" w:eastAsia="el"/>
        </w:rPr>
      </w:pPr>
      <w:r>
        <w:rPr>
          <w:lang w:val="el" w:eastAsia="el"/>
        </w:rPr>
        <w:t>6.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7. Την υπό στοιχεία Γ.Π.: Β1α/21047/06.04.2023 εισήγηση της Γενικής Διεύθυνσης Οικονομικών Υπηρεσιών του Υπουργείου Υγείας.</w:t>
      </w:r>
    </w:p>
    <w:p>
      <w:pPr>
        <w:pStyle w:val="PreambelText"/>
        <w:spacing w:before="240" w:after="240"/>
        <w:rPr>
          <w:lang w:val="el" w:eastAsia="el"/>
        </w:rPr>
      </w:pPr>
      <w:r>
        <w:rPr>
          <w:lang w:val="el" w:eastAsia="el"/>
        </w:rPr>
        <w:t>8. Το γεγονός ότι από την εφαρμογή της παρούσας προκαλείται δαπάνη στον κρατικό προϋπολογισμό και συγκεκριμένα: για το τρέχον οικ. έτος προβλέπεται επιβάρυνση του προϋπολογισμού δημοσίων επενδύσεων του Υπουργείου Υγείας, συνολικού ύψους 29.816.086,00 ευρώ, για την υλοποίηση του έργου με ενάριθμο 2023 ΤΑ 09100003 και τίτλο: «Οικονομική Ενίσχυση για την διενέργεια πράξεων προληπτικής οδοντιατρικής φροντίδας σε φυσικά πρόσωπα ηλικίας 6 έως 12 ετών» (ΣΑΤΑ 091), το οποίο χρηματοδοτείται από το Ταμείο Ανάκαμψης και Ανθεκτικότητας, αποφασίζουμε:</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Σκοπός της παρούσας είναι η εξειδίκευση των όρων, των προϋποθέσεων και της διαδικασίας υλοποίησης της Δράσης παροχής οικονομικής ενίσχυσης για τη διενέργεια πράξεων προληπτικής οδοντιατρικής φροντίδας σε παιδιά ηλικίας έξι έως δώδεκα (6-12) ετών (ωφελούμενοι), στο πλαίσιο του έργου «Υλοποίηση Εθνικού Προγράμματος Πρόληψης της Δημόσιας Υγείας «Σπύρος Δοξιάδης»» (κωδικός Δράσης 16783), του Ταμείου Ανάκαμψης και Ανθεκτικότητας Ελλάδα 2.0., που χρηματοδοτείται σύμφωνα με το «Εθνικό Σχέδιο Ανάκαμψης και ανθεκτικότητας Ελλάδα 2.0.». Το Πρόγραμμα έχει ως στόχο την βελτιστοποίηση της ποιότητας της προληπτικής οδοντιατρικής με ομάδα στόχο τα παιδιά ηλικίας 6-12 ετών και την εμπέδωση της φιλοσοφίας της προληπτικής οδοντιατρικής και της ενημέρωσης γονέων και παιδιών για την ανάγκη της επιμελούς φροντίδας της στοματικής κοιλότητας, ώστε τα τελευταία να μεγαλώσουν χωρίς οδοντιατρικά προβλήματα. Περιλαμβάνει έλεγχο της στοματικής υγιεινής, καθαρισμό και απομάκρυνση πλακών, φθορίωση και εν γένει παροχή οδηγιών για την στοματική υγιεινή των παιδιών.</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Δικαιούχοι και ωφελούμενοι του προγράμματος, διαδικασία, χρονική διάρκεια και περιεχόμενο της αίτησης για τη λήψη της Οικονομικής Ενίσχυσης και εξειδίκευση των κριτηρίων επιλεξιμότητας.</w:t>
      </w:r>
    </w:p>
    <w:p>
      <w:pPr>
        <w:pStyle w:val="MainText"/>
        <w:spacing w:before="120" w:after="0"/>
        <w:rPr>
          <w:lang w:val="el" w:eastAsia="el"/>
        </w:rPr>
      </w:pPr>
      <w:r>
        <w:rPr>
          <w:b/>
          <w:bCs/>
          <w:lang w:val="el" w:eastAsia="el"/>
        </w:rPr>
        <w:t>1.</w:t>
      </w:r>
      <w:r>
        <w:rPr>
          <w:lang w:val="el" w:eastAsia="el"/>
        </w:rPr>
        <w:t xml:space="preserve"> Ωφελούμενοι της ενίσχυσης είναι τα παιδιά που έχουν γεννηθεί κατά τα ημερολογιακά έτη 2011 έως και 2016, διαμένουν νόμιμα στην ελληνική επικράτεια και διαθέτουν Αριθμό Μητρώου Κοινωνικής Ασφάλισης (ΑΜΚΑ), είτε Προσωρινό Αριθμό Ασφάλισης και Υγειονομικής Περίθαλψης Αλλοδαπού (ΠΑΑΥΠΑ).</w:t>
      </w:r>
    </w:p>
    <w:p>
      <w:pPr>
        <w:pStyle w:val="MainText"/>
        <w:spacing w:before="120" w:after="0"/>
        <w:rPr>
          <w:lang w:val="el" w:eastAsia="el"/>
        </w:rPr>
      </w:pPr>
      <w:r>
        <w:rPr>
          <w:b/>
          <w:bCs/>
          <w:lang w:val="el" w:eastAsia="el"/>
        </w:rPr>
        <w:t>2.</w:t>
      </w:r>
      <w:r>
        <w:rPr>
          <w:lang w:val="el" w:eastAsia="el"/>
        </w:rPr>
        <w:t xml:space="preserve"> Η ενίσχυση λαμβάνεται, για λογαριασμό του παιδιού, από ενήλικο φυσικό πρόσωπο το οποίο ασκεί τη γονική μέριμνα ή την επιμέλεια ή την επιτροπεία του ή του παρέχει την ασφαλιστική κάλυψη, ενεργώντας ως ο εκπρόσωπος του παιδιού για τους σκοπούς του παρόντος Προγράμματος. Το φυσικό αυτό πρόσωπο, στο οποίο πιστώνεται το ποσό της ενίσχυσης, νοείται ως ο Δικαιούχος της ενίσχυσης.</w:t>
      </w:r>
    </w:p>
    <w:p>
      <w:pPr>
        <w:pStyle w:val="MainText"/>
        <w:spacing w:before="120" w:after="0"/>
        <w:rPr>
          <w:lang w:val="el" w:eastAsia="el"/>
        </w:rPr>
      </w:pPr>
      <w:r>
        <w:rPr>
          <w:b/>
          <w:bCs/>
          <w:lang w:val="el" w:eastAsia="el"/>
        </w:rPr>
        <w:t>3.</w:t>
      </w:r>
      <w:r>
        <w:rPr>
          <w:lang w:val="el" w:eastAsia="el"/>
        </w:rPr>
        <w:t xml:space="preserve"> Απαραίτητη προϋπόθεση για να λάβει ο δικαιούχος την οικονομική ενίσχυση είναι να υποβάλλει αίτηση στην Ηλεκτρονική Πλατφόρμα του Προγράμματος (Η.Π.Π.), η οποία είναι προσβάσιμη μέσω της Ενιαίας Ψηφιακής Πύλης της Δημόσιας Διοίκησης (gov.gr - ΕΨΠ) και η αίτηση αυτή να εγκριθεί. Για το σκοπό αυτό, ο δικαιούχος πρέπει να διαθέτει Αριθμό Φορολογικού Μητρώου ή/και ΑΜΚΑ/ ΠΑΑΥΠΑ και προσωπικούς κωδικούς - διαπιστευτήρια της Γενικής Γραμματείας Πληροφοριακών Συστημάτων Δημόσιας Διοίκησης (Γ.Γ.Π.Σ.Δ.Δ.) του Υπουργείου Ψηφιακής Διακυβέρνησης (taxisnet). Δικαιούχοι που δε διαθέτουν ενεργούς προσωπικούς κωδικούς taxisnet ή δεν έχουν τη δυνατότητα να υποβάλλουν αίτηση μέσω της Η.Π.Π. για άλλο λόγο, μπορούν να υποβάλλουν αίτηση μέσω Κ.Ε.Π., σύμφωνα με τα προβλεπόμενα στο άρθρο 5 της παρούσας.</w:t>
      </w:r>
    </w:p>
    <w:p>
      <w:pPr>
        <w:pStyle w:val="MainText"/>
        <w:spacing w:before="120" w:after="0"/>
        <w:rPr>
          <w:lang w:val="el" w:eastAsia="el"/>
        </w:rPr>
      </w:pPr>
      <w:r>
        <w:rPr>
          <w:b/>
          <w:bCs/>
          <w:lang w:val="el" w:eastAsia="el"/>
        </w:rPr>
        <w:t>4.</w:t>
      </w:r>
      <w:r>
        <w:rPr>
          <w:lang w:val="el" w:eastAsia="el"/>
        </w:rPr>
        <w:t xml:space="preserve"> Για κάθε παιδί-ωφελούμενο είναι δυνατή η έγκριση μόνο μίας αίτησης. Οι λεπτομέρειες υποβολής των αιτήσεων ανά ωφελούμενο και ανά οικογένεια από δυνητικούς δικαιούχους, καθορίζονται στις τεχνικές οδηγίες του άρθρου 13 που δημοσιεύει ο Φορέας Υλοποίησης του Έργου μετά την προκήρυξη του Προγράμματος.</w:t>
      </w:r>
    </w:p>
    <w:p>
      <w:pPr>
        <w:pStyle w:val="MainText"/>
        <w:spacing w:before="120" w:after="0"/>
        <w:rPr>
          <w:lang w:val="el" w:eastAsia="el"/>
        </w:rPr>
      </w:pPr>
      <w:r>
        <w:rPr>
          <w:b/>
          <w:bCs/>
          <w:lang w:val="el" w:eastAsia="el"/>
        </w:rPr>
        <w:t>5.</w:t>
      </w:r>
      <w:r>
        <w:rPr>
          <w:lang w:val="el" w:eastAsia="el"/>
        </w:rPr>
        <w:t xml:space="preserve"> Για την επιβεβαίωση της επιλεξιμότητας των ωφελούμενων και δικαιούχων που υποβάλλουν για λογαριασμό των πρώτων την αίτηση, ελέγχεται κατ’ ελάχιστον η κάλυψη των ακόλουθων επιμέρους προϋποθέσεων: (α) η επιβεβαίωση του έτους γέννησης του ωφελούμενου, (β) η επιβεβαίωση της ιδιότητας του αιτούντος ενήλικου φυσικού προσώπου (δικαιούχου) ως ασκούντος την γονική μέριμνα ή επιμέλεια ή επιτροπεία του ωφελούμενου παιδιού, ή ως παρέχοντος την ασφαλιστική του κάλυψη, (γ) η ύπαρξη Αριθμού Μητρώου Κοινωνικής Ασφάλισης (Α.Μ.ΚΑ.), μόνιμου ή προσωρινού, ή εναλλακτικά η ύπαρξη Προσωρινού Αριθμού Ασφάλισης και Υγειονομικής Περίθαλψης Αλλοδαπού (Π.Α.Α.Υ.Π.Α.) του ωφελούμενου παιδιού και (δ) η επιβεβαίωση της ταυτότητας του φυσικού προσώπου.</w:t>
      </w:r>
    </w:p>
    <w:p>
      <w:pPr>
        <w:pStyle w:val="MainText"/>
        <w:spacing w:before="120" w:after="0"/>
        <w:rPr>
          <w:lang w:val="el" w:eastAsia="el"/>
        </w:rPr>
      </w:pPr>
      <w:r>
        <w:rPr>
          <w:b/>
          <w:bCs/>
          <w:lang w:val="el" w:eastAsia="el"/>
        </w:rPr>
        <w:t>6.</w:t>
      </w:r>
      <w:r>
        <w:rPr>
          <w:lang w:val="el" w:eastAsia="el"/>
        </w:rPr>
        <w:t xml:space="preserve"> Η υποβολή της αίτησης για την λήψη της οικονομικής ενίσχυσης πραγματοποιείται σύμφωνα με το άρθρο 4.</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Ύψος και πίστωση της οικονομικής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ανά ωφελούμενο (παιδί) ανέρχεται στο ποσό των σαράντα ευρώ (40 €). Η οικονομική ενίσχυση που αντιστοιχεί σε κάθε ωφελούμενο πιστώνεται στον δικαιούχο σε μία ψηφιακή χρεωστική κάρτα (pass). Κάθε ψηφιακή χρεωστική κάρτα μπορεί να καλύψει το σύνολο ή τμήμα του πραγματικού κόστους των προβλεπόμενων υπηρεσιών οδοντιατρικής φροντίδας του ωφελούμενου ή των ωφελούμενων παιδιού/ων και έως του ανωτέρω ποσού. Το ανωτέρω χρηματικό ποσό χρησιμοποιείται αποκλειστικά από τους δικαιούχους για την πληρωμή πράξεων προληπτικής οδοντιατρικής φροντίδας προς τους συγκεκριμένους ωφελούμενους για τους οποίους είχε αρχικά εκδοθεί και προορίζεται. Δεν επιτρέπεται οποιαδήποτε χρήση του ποσού αυτού για άλλο σκοπό, όπως ενδεικτικά η αξιοποίησή του από τρίτο πρόσωπο ή η ανάληψή του. Ο Φορέας Υλοποίησης μπορεί να εφαρμόζει ηλεκτρονικούς ή φυσικούς δειγματοληπτικούς ελέγχους για την επαλήθευση τήρησης των ανωτέρω περιορισμών. Σε περίπτωση κατά την οποία, σε οποιοδήποτε στάδιο του Προγράμματος ή μετά την ολοκλήρωση αυτού, διαπιστωθεί η μη τήρηση των ανωτέρω περιορισμών, δύναται να ανακληθεί η αρχική χρηματοδότηση και να αναζητηθεί εντόκως το ποσό της επιχορήγησης που τυχόν έχει χορηγηθεί, σύμφωνα με τις κείμενες διατάξεις.</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Λειτουργία της ειδικής εφαρμογής του άρθρου τρίτου του ν. 5015/2023, διαδικασία υποβολής της αίτησης, έκδοσης της ψηφιακής χρεωστικής κάρτας και πίστωσης του αναλογούντος ποσού</w:t>
      </w:r>
    </w:p>
    <w:p>
      <w:pPr>
        <w:pStyle w:val="MainText"/>
        <w:spacing w:before="120" w:after="0"/>
        <w:rPr>
          <w:lang w:val="el" w:eastAsia="el"/>
        </w:rPr>
      </w:pPr>
      <w:r>
        <w:rPr>
          <w:b/>
          <w:bCs/>
          <w:lang w:val="el" w:eastAsia="el"/>
        </w:rPr>
        <w:t>1.</w:t>
      </w:r>
      <w:r>
        <w:rPr>
          <w:lang w:val="el" w:eastAsia="el"/>
        </w:rPr>
        <w:t xml:space="preserve"> Δημιουργείται η Ηλεκτρονική Πλατφόρμα του Προγράμματος (Η.Π.Π.), προσβάσιμη μέσω της Ενιαίας Ψηφιακής Πύλης της Δημόσιας Διοίκησης (gov.gr-ΕΨΠ), με σκοπό την υποβολή της αίτησης για την χορήγηση της οικονομικής ενίσχυσης μέσω ψηφιακής χρεωστικής κάρτας, στην οποία πιστώνεται από την Κ.τ.Π. Μ.Α.Ε. το σχετικό ποσό της οικονομικής ενίσχυσης σύμφωνα με το πρώτο εδάφιο της παρ. 1 του άρθρου 3.</w:t>
      </w:r>
    </w:p>
    <w:p>
      <w:pPr>
        <w:pStyle w:val="MainText"/>
        <w:spacing w:before="120" w:after="0"/>
        <w:rPr>
          <w:lang w:val="el" w:eastAsia="el"/>
        </w:rPr>
      </w:pPr>
      <w:r>
        <w:rPr>
          <w:b/>
          <w:bCs/>
          <w:lang w:val="el" w:eastAsia="el"/>
        </w:rPr>
        <w:t>2.</w:t>
      </w:r>
      <w:r>
        <w:rPr>
          <w:lang w:val="el" w:eastAsia="el"/>
        </w:rPr>
        <w:t xml:space="preserve"> Η ανωτέρω κάρτα εκδίδεται ειδικά για το σκοπό του πρώτου εδαφίου του άρθρου 3 από πιστωτικό ίδρυμα ή χρηματοπιστωτικό οργανισμό, κατά την έννοια των παρ. 2 και 3 του άρθρου 3 του ν. 4557/2018 (Α’ 139), αντίστοιχα.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την Κ.τ.Π. Μ.Α.Ε.</w:t>
      </w:r>
    </w:p>
    <w:p>
      <w:pPr>
        <w:pStyle w:val="MainText"/>
        <w:spacing w:before="120" w:after="0"/>
        <w:rPr>
          <w:lang w:val="el" w:eastAsia="el"/>
        </w:rPr>
      </w:pPr>
      <w:r>
        <w:rPr>
          <w:b/>
          <w:bCs/>
          <w:lang w:val="el" w:eastAsia="el"/>
        </w:rPr>
        <w:t>3.</w:t>
      </w:r>
      <w:r>
        <w:rPr>
          <w:lang w:val="el" w:eastAsia="el"/>
        </w:rPr>
        <w:t xml:space="preserve"> Η αίτηση της παρ. 1 υποβάλλεται από το δικαιούχο της παρ. 2 του άρθρου 2, αφότου εισέλθει στην ειδική εφαρμογή της παρ. 1, και αυθεντικοποιηθεί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w:t>
      </w:r>
    </w:p>
    <w:p>
      <w:pPr>
        <w:pStyle w:val="MainText"/>
        <w:spacing w:before="120" w:after="0"/>
        <w:rPr>
          <w:lang w:val="el" w:eastAsia="el"/>
        </w:rPr>
      </w:pPr>
      <w:r>
        <w:rPr>
          <w:b/>
          <w:bCs/>
          <w:lang w:val="el" w:eastAsia="el"/>
        </w:rPr>
        <w:t>4.</w:t>
      </w:r>
      <w:r>
        <w:rPr>
          <w:lang w:val="el" w:eastAsia="el"/>
        </w:rPr>
        <w:t xml:space="preserve"> Μετά την είσοδό του στην εφαρμογή, ο δικαιούχος δηλώνει τον Αριθμό Μητρώου Κοινωνικής Ασφάλισης (Α.Μ.Κ.Α.) ή τον Προσωρινό Αριθμό Ασφάλισης και Υγειονομικής Περίθαλψης Αλλοδαπού (ΠΑ.Α.Υ.Π.Α.) του ωφελούμενου, το πιστωτικό ίδρυμα ή χρηματοπιστωτικό οργανισμό που επιλέγει για την έκδοση της ψηφιακής χρεωστικής κάρτας, καθώς και κάθε άλλη αναγκαία πληροφορία ή στοιχείο που απαιτείται (α) για την ταυτοποίηση ωφελούμενου/ων και δικαιούχου, (β) για την επιβεβαίωση της επιλεξιμότητας της αίτησης και (γ) τη μετέπειτα επικοινωνία και διαχείριση της διαδικασίας έγκρισης και έκδοσης της ψηφιακής κάρτας. Όπου είναι δυνατό, τα στοιχεία αυτά αντλούνται και διασταυρώνονται αυτόματα μέσω της διαλειτουργικότητας του επόμενου εδαφίου. Όπου δεν είναι δυνατή η αυτόματη επιβεβαίωση των κριτηρίων επιλεξιμότητας μέσω ηλεκτρονικών διασταυρώσεων, δύναται να ζητηθεί κατά περίπτωση η επισύναψη/προσκόμιση των αναγκαίων δικαιολογητικών εγγράφων ή/και συμπλήρωση των αρχικών δηλώσεων από την πλευρά του αιτούντος.</w:t>
      </w:r>
    </w:p>
    <w:p>
      <w:pPr>
        <w:pStyle w:val="MainText"/>
        <w:spacing w:before="120" w:after="0"/>
        <w:rPr>
          <w:lang w:val="el" w:eastAsia="el"/>
        </w:rPr>
      </w:pPr>
      <w:r>
        <w:rPr>
          <w:b/>
          <w:bCs/>
          <w:lang w:val="el" w:eastAsia="el"/>
        </w:rPr>
        <w:t>5.</w:t>
      </w:r>
      <w:r>
        <w:rPr>
          <w:lang w:val="el" w:eastAsia="el"/>
        </w:rPr>
        <w:t xml:space="preserve"> Για τον σκοπό της άντλησης των αναγκαίων πληροφοριών και της επαλήθευσης πλήρωσης των απαιτούμενων προϋποθέσεων των ωφελούμενων και δικαιούχων σύμφωνα με το άρθρο 2, το πληροφοριακό σύστημα της Η.Π.Π. διαλειτουργεί, όπου είναι εφικτό μέσω του Κέντρου Διαλειτουργικότητας ΚΕΔ της Γ.Γ.Π.Σ.Δ.Δ., ιδίως με το Φορολογικό Μητρώο της Ανεξάρτητης Αρχής Δημοσίων Εσόδων (Α.Α.Δ.Ε.), το Μητρώο Πολιτών του Υπουργείου Εσωτερικών, το Εθνικό Μητρώο ΑΜΚΑ-ΕΜΑ- ΕΣ, καθώς και το Εθνικό Μητρώο Επικοινωνίας (ΕΜΕΠ).</w:t>
      </w:r>
    </w:p>
    <w:p>
      <w:pPr>
        <w:pStyle w:val="MainText"/>
        <w:spacing w:before="120" w:after="0"/>
        <w:rPr>
          <w:lang w:val="el" w:eastAsia="el"/>
        </w:rPr>
      </w:pPr>
      <w:r>
        <w:rPr>
          <w:b/>
          <w:bCs/>
          <w:lang w:val="el" w:eastAsia="el"/>
        </w:rPr>
        <w:t>6.</w:t>
      </w:r>
      <w:r>
        <w:rPr>
          <w:lang w:val="el" w:eastAsia="el"/>
        </w:rPr>
        <w:t xml:space="preserve"> Μετά την υποβολή της, κάθε αίτηση ελέγχεται ως προς την πληρότητα και επιλεξιμότητά της μέσω αυτόματων ή μη διασταυρώσεων.</w:t>
      </w:r>
    </w:p>
    <w:p>
      <w:pPr>
        <w:pStyle w:val="MainText"/>
        <w:spacing w:before="120" w:after="0"/>
        <w:rPr>
          <w:lang w:val="el" w:eastAsia="el"/>
        </w:rPr>
      </w:pPr>
      <w:r>
        <w:rPr>
          <w:b/>
          <w:bCs/>
          <w:lang w:val="el" w:eastAsia="el"/>
        </w:rPr>
        <w:t>7.</w:t>
      </w:r>
      <w:r>
        <w:rPr>
          <w:lang w:val="el" w:eastAsia="el"/>
        </w:rPr>
        <w:t xml:space="preserve"> Στην περίπτωση που ο έλεγχος αποβεί αρνητικός, η αίτηση απορρίπτεται, ο δε δικαιούχος έχει το δικαίωμα υποβολής αιτήματος επανεξέτασης.</w:t>
      </w:r>
    </w:p>
    <w:p>
      <w:pPr>
        <w:pStyle w:val="MainText"/>
        <w:spacing w:before="120" w:after="0"/>
        <w:rPr>
          <w:lang w:val="el" w:eastAsia="el"/>
        </w:rPr>
      </w:pPr>
      <w:r>
        <w:rPr>
          <w:b/>
          <w:bCs/>
          <w:lang w:val="el" w:eastAsia="el"/>
        </w:rPr>
        <w:t>8.</w:t>
      </w:r>
      <w:r>
        <w:rPr>
          <w:lang w:val="el" w:eastAsia="el"/>
        </w:rPr>
        <w:t xml:space="preserve"> Σε περίπτωση που ο έλεγχος της αίτησης αποβεί θετικός,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αιτούντος, για τον σκοπό της έκδοσης της ψηφιακής χρεωστικής κάρτας και της πίστωσης του ποσού της οικονομικής ενίσχυσης σε αυτήν, και εμβάζει αμελλητί στο πιστωτικό ίδρυμα ή τον χρηματοπιστωτικό οργανισμό το χρηματικό ποσό που αντιστοιχεί στον δικαιούχο. Εκδίδεται μία κάρτα ανά αίτηση στην οποία πιστώνεται ποσό που αντιστοιχεί στην ενίσχυση για έναν ή περισσότερους ωφελούμενους του κάθε δικαιούχου.</w:t>
      </w:r>
    </w:p>
    <w:p>
      <w:pPr>
        <w:pStyle w:val="MainText"/>
        <w:spacing w:before="120" w:after="0"/>
        <w:rPr>
          <w:lang w:val="el" w:eastAsia="el"/>
        </w:rPr>
      </w:pPr>
      <w:r>
        <w:rPr>
          <w:b/>
          <w:bCs/>
          <w:lang w:val="el" w:eastAsia="el"/>
        </w:rPr>
        <w:t>9.</w:t>
      </w:r>
      <w:r>
        <w:rPr>
          <w:lang w:val="el" w:eastAsia="el"/>
        </w:rPr>
        <w:t xml:space="preserve"> Ακολούθως, το πιστωτικό ίδρυμα ή ο χρηματοπιστωτικός οργανισμός ενημερώνει τον αιτούντα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αιτών στην ειδική εφαρμογή, με ενσωματωμένες οδηγίες και β) μήνυμα ηλεκτρονικού ταχυδρομείου (e-mail) στην ηλεκτρονική διεύθυνση που έχει δηλώσει ο αιτών στην ειδική εφαρμογή με ενσωματωμένο σύνδεσμο για την ενεργοποίηση της ψηφιακής χρεωστικής κάρτας. Μετά την είσοδο στον ανωτέρω σύνδεσμο, ο αιτών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 δικαιούχου. Η ψηφιακή χρεωστική κάρτα αποθηκεύεται στο ψηφιακό πορτοφόλι του κινητού του αιτούντος και μπορεί να χρησιμοποιηθεί στα POS όλων των οδοντιατρείων, σύμφωνα με όσα αναφέρονται στο άρθρο 6της παρούσας.</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Διαδικασία έκδοσης</w:t>
      </w:r>
    </w:p>
    <w:p>
      <w:pPr>
        <w:spacing w:before="240" w:after="240"/>
        <w:rPr>
          <w:lang w:val="el" w:eastAsia="el"/>
        </w:rPr>
      </w:pPr>
      <w:r>
        <w:rPr>
          <w:lang w:val="el" w:eastAsia="el"/>
        </w:rPr>
        <w:t>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4 διαδικασία υποβολής αίτησης μπορεί να πραγματοποιηθεί και μέσω των Κ.Ε.Π., από πιστοποιημένο υπάλληλο, κατόπιν σχετικής αίτησης του δικαιούχου του άρθρου 2.</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2020/23.10.2020 (Β’ 4798) απόφαση του Υπουργού Επικρατείας. Στη συνέχεια, ο υπάλληλος καταχωρίζει στα πεδία που εμφανίζονται στο σύστημα τα αναφερόμενα στην παρ. 4 του άρθρου 4 στοιχεία. Πριν την οριστική υποβολή, η αίτηση εκτυπώνεται, παραδίδεται στο αιτούμενο πρόσωπο για οπτικό έλεγχο προς διόρθωση τυχόν λαθών και υπογραφή και ακολούθως υποβάλλεται οριστικά.</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πριν της έναρξη της παραγωγικής λειτουργίας της ειδικής ηλεκτρονικής εφαρμογής εγχειρίδιο χρήσης της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4.</w:t>
      </w:r>
      <w:r>
        <w:rPr>
          <w:lang w:val="el" w:eastAsia="el"/>
        </w:rPr>
        <w:t xml:space="preserve"> Η διαδικασία έκδοσης της ψηφιακής χρεωστικής κάρτας, δύναται να πραγματοποιείται και με εξουσιοδότηση του δικαιούχου σε τρίτο.</w:t>
      </w:r>
    </w:p>
    <w:p>
      <w:pPr>
        <w:pStyle w:val="Heading6"/>
        <w:spacing w:before="240" w:after="240"/>
        <w:rPr>
          <w:lang w:val="el" w:eastAsia="el"/>
        </w:rPr>
      </w:pPr>
      <w:r>
        <w:rPr>
          <w:rStyle w:val="article-num"/>
          <w:lang w:val="el" w:eastAsia="el"/>
        </w:rPr>
        <w:t>ΑΡΘΡΟ 6</w:t>
      </w:r>
    </w:p>
    <w:p>
      <w:pPr>
        <w:spacing w:before="240" w:after="240"/>
        <w:rPr>
          <w:lang w:val="el" w:eastAsia="el"/>
        </w:rPr>
      </w:pPr>
      <w:r>
        <w:rPr>
          <w:lang w:val="el" w:eastAsia="el"/>
        </w:rPr>
        <w:t>Συμμετοχή οδοντιάτρων</w:t>
      </w:r>
    </w:p>
    <w:p>
      <w:pPr>
        <w:spacing w:before="240" w:after="240"/>
        <w:rPr>
          <w:lang w:val="el" w:eastAsia="el"/>
        </w:rPr>
      </w:pPr>
      <w:r>
        <w:rPr>
          <w:lang w:val="el" w:eastAsia="el"/>
        </w:rPr>
        <w:t>Στο πρόγραμμα για τη διενέργεια πράξεων προληπτικής οδοντιατρικής φροντίδας σε δικαιούχους (παιδιά ηλικίας έξι έως δώδεκα (6-12) ετών) συμμετέχουν αυτοδικαίως χωρίς να απαιτείται καμία διαδικασία, όλοι οι οδοντίατροι/ορθοδοντικοί που διαθέτουν τερματικό σημείο πώλησης (POS) καταχωρημένο στους κωδικούς κατηγορίας εμπόρων (MCC-8021 για Οδοντίατρους και Ορθοδοντικούς).</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Χρηματοδότηση</w:t>
      </w:r>
    </w:p>
    <w:p>
      <w:pPr>
        <w:spacing w:before="240" w:after="240"/>
        <w:rPr>
          <w:lang w:val="el" w:eastAsia="el"/>
        </w:rPr>
      </w:pPr>
      <w:r>
        <w:rPr>
          <w:lang w:val="el" w:eastAsia="el"/>
        </w:rPr>
        <w:t>Η χρηματοδότηση του προγράμματος γίνεται στο πλαίσιο του έργου «Υλοποίηση Εθνικού Προγράμματος Πρόληψης της Δημόσιας Υγείας «Σπύρος Δοξιάδης»» (κωδικός Δράσης 16783), του Ταμείου Ανάκαμψης και Ανθεκτικότητας Ελλάδα 2.0., που χρηματοδοτείται σύμφωνα με το «Εθνικό Σχέδιο Ανάκαμψης και ανθεκτικότητας Ελλάδα 2.0.».</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Ημερομηνία υποβολής αιτήσεων</w:t>
      </w:r>
    </w:p>
    <w:p>
      <w:pPr>
        <w:spacing w:before="240" w:after="240"/>
        <w:rPr>
          <w:lang w:val="el" w:eastAsia="el"/>
        </w:rPr>
      </w:pPr>
      <w:r>
        <w:rPr>
          <w:lang w:val="el" w:eastAsia="el"/>
        </w:rPr>
        <w:t>Οι ημερομηνίες έναρξης και λήξης υποβολής αιτήσεων των δυνητικών δικαιούχων στην Ηλεκτρονική Πλατφόρμα του Προγράμματος, θα καθοριστούν στις τεχνικές οδηγίες του άρθρου 13 που δημοσιεύει ο Φορέας Υλοποίησης του Προγράμματος, μετά την προκήρυξή του. Το διάστημα υποβολής αιτήσεων δεν δύναται να είναι μικρότερο των πέντε (5) μηνών.</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Διαδικασία εκκαθάρισης</w:t>
      </w:r>
    </w:p>
    <w:p>
      <w:pPr>
        <w:spacing w:before="240" w:after="240"/>
        <w:rPr>
          <w:lang w:val="el" w:eastAsia="el"/>
        </w:rPr>
      </w:pPr>
      <w:r>
        <w:rPr>
          <w:lang w:val="el" w:eastAsia="el"/>
        </w:rPr>
        <w:t>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το άρθρο 14 της παρούσας, το πιστωτικό ίδρυμα ή ο χρηματοπιστωτικός οργανισμός ενημερώνει την Κ.τ.Π. Μ.Α.Ε. σχετικά με το συνολικό ποσό το οποίο, δεν έχει χρησιμοποιηθεί από αυτούς και επιστρέφει το ανωτέρω ποσό στην Κ.τ.Π. Μ.Α.Ε., προκειμένου να αποδοθεί, εν τέλει, στο Ελληνικό Δημόσιο.</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Προστασία προσωπικών δεδομένων - τεχνικά και οργανωτικά μέτρα ασφάλειας</w:t>
      </w:r>
    </w:p>
    <w:p>
      <w:pPr>
        <w:pStyle w:val="MainText"/>
        <w:spacing w:before="120" w:after="0"/>
        <w:rPr>
          <w:lang w:val="el" w:eastAsia="el"/>
        </w:rPr>
      </w:pPr>
      <w:r>
        <w:rPr>
          <w:b/>
          <w:bCs/>
          <w:lang w:val="el" w:eastAsia="el"/>
        </w:rPr>
        <w:t>1.</w:t>
      </w:r>
      <w:r>
        <w:rPr>
          <w:lang w:val="el" w:eastAsia="el"/>
        </w:rPr>
        <w:t xml:space="preserve"> Η Κ.τ.Π. Μ.Α.Ε., ως φορέας υλοποίησης του έργου και επέχουσα θέση εκτελούσας την επεξεργασία για λογαριασμό του Υπουργείου Υγείας, αναλαμβάνει τον τεχνικό σχεδιασμό, την υλοποίηση της Η.Π.Π.,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Η.Π.Π., τηρώντας τις διατάξεις της νομοθεσίας για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Κ.τ.Π. Μ.Α.Ε. αναλαμβάνει τον τεχνικό σχεδιασμό, την υλοποίηση της ηλεκτρονικής πλατφόρμας, την οργάνωση των δεδομένων προσωπικού χαρακτήρα, καθώς και των δεδομένων από κάθε πηγή, την τήρηση υπό συνθήκες που διασφαλίζουν την ακεραιότητα, εμπιστευτικότητα και διαθεσιμότητα των δεδομένων και κάθε άλλο θέμα που αφορά στην ομαλή λειτουργία της εφαρμογής, σύμφωνα με τον Γενικού Κανονισμό για την ΠροστασίαΔεδομένων (ΕΕ) 2016/679 του Ευρωπαϊκού Κοινοβουλίου και του Συμβουλίου της 27ης Απριλίου 2016 (ΓΚΠΔ, L 119) και τον ν. 4624/2019 (Α’ 137). Τα δεδομένα προσωπικού χαρακτήρα που καταχωρούνται στην ανωτέρω εφαρμογή, συλλέγονται, τηρούνται και τυγχάνουν περαιτέρω επεξεργασίας αποκλειστικά για τον αναφερόμενο σκοπό του άρθρου 1. Τα ανωτέρω δεδομένα τηρούνται για τον ως άνω σκοπό για περίοδο δύο (2) ετών και στη συνέχεια διαγράφονται.</w:t>
      </w:r>
    </w:p>
    <w:p>
      <w:pPr>
        <w:pStyle w:val="MainText"/>
        <w:spacing w:before="120" w:after="0"/>
        <w:rPr>
          <w:lang w:val="el" w:eastAsia="el"/>
        </w:rPr>
      </w:pPr>
      <w:r>
        <w:rPr>
          <w:b/>
          <w:bCs/>
          <w:lang w:val="el" w:eastAsia="el"/>
        </w:rPr>
        <w:t>3.</w:t>
      </w:r>
      <w:r>
        <w:rPr>
          <w:lang w:val="el" w:eastAsia="el"/>
        </w:rPr>
        <w:t xml:space="preserve"> Η Κ.τ.Π. Μ.Α.Ε., ως εκτελούσα την επεξεργασία για λογαριασμό του Υπουργείου Υγείας,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εποπτεύεται ως προς τα ανωτέρω από τον Υπεύθυνο Προστασίας Δεδομένων Προσωπικού Χαρακτήρα του Υπουργείου Υγείας.</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Αρμόδια Όργανα - Διαλειτουργικότητα</w:t>
      </w:r>
    </w:p>
    <w:p>
      <w:pPr>
        <w:pStyle w:val="MainText"/>
        <w:spacing w:before="120" w:after="0"/>
        <w:rPr>
          <w:lang w:val="el" w:eastAsia="el"/>
        </w:rPr>
      </w:pPr>
      <w:r>
        <w:rPr>
          <w:b/>
          <w:bCs/>
          <w:lang w:val="el" w:eastAsia="el"/>
        </w:rPr>
        <w:t>1.</w:t>
      </w:r>
      <w:r>
        <w:rPr>
          <w:lang w:val="el" w:eastAsia="el"/>
        </w:rPr>
        <w:t xml:space="preserve"> Φορέας Υλοποίησης του προγράμματος ορίζεται η «Κ.τ.Π. Μ.Α.Ε.», επέχουσα θέση εκτελούσας την επεξεργασία για λογαριασμό του Υπουργείου Υγείας. Η «Κ.τ.Π. Μ.Α.Ε.» αναλαμβάνει τον τεχνικό σχεδιασμό, την υλοποίηση της Η.Π.Π.,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Η.Π.Π., σύμφωνα με το ενωσιακό και εθνικό δίκαιο της νομοθεσίας για την προστασία των δεδομένων προσωπικού χαρακτήρα και εποπτεύεται ως προς τα ανωτέρω από τον Υπεύθυνο Προστασίας Δεδομένων Προσωπικού Χαρακτήρα του Υπουργείου Υγείας.</w:t>
      </w:r>
    </w:p>
    <w:p>
      <w:pPr>
        <w:pStyle w:val="MainText"/>
        <w:spacing w:before="120" w:after="0"/>
        <w:rPr>
          <w:lang w:val="el" w:eastAsia="el"/>
        </w:rPr>
      </w:pPr>
      <w:r>
        <w:rPr>
          <w:b/>
          <w:bCs/>
          <w:lang w:val="el" w:eastAsia="el"/>
        </w:rPr>
        <w:t>2.</w:t>
      </w:r>
      <w:r>
        <w:rPr>
          <w:lang w:val="el" w:eastAsia="el"/>
        </w:rPr>
        <w:t xml:space="preserve">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3.</w:t>
      </w:r>
      <w:r>
        <w:rPr>
          <w:lang w:val="el" w:eastAsia="el"/>
        </w:rPr>
        <w:t xml:space="preserve"> Ο Φορέας Υλοποίησης δύναται να ορίζει επιμέρους επιτροπές και ομάδες εργασίας που (α) εξετάζουν την επιλεξιμότητα αιτήσεων οι οποίες δεν μπορούν να διασταυρωθούν πλήρως με ηλεκτρονικά μέσα, (β) χειρίζονται αιτήματα επανεξέτασης, (γ) διενεργούν δειγματοληπτικούς ελέγχους σε εγκεκριμένες αιτήσεις και (δ) υποβάλλουν σχετικές εισηγήσεις στο Φορέα Υλοποίησης που λαμβάνει τις τελικές αποφάσεις.</w:t>
      </w:r>
    </w:p>
    <w:p>
      <w:pPr>
        <w:pStyle w:val="MainText"/>
        <w:spacing w:before="120" w:after="0"/>
        <w:rPr>
          <w:lang w:val="el" w:eastAsia="el"/>
        </w:rPr>
      </w:pPr>
      <w:r>
        <w:rPr>
          <w:b/>
          <w:bCs/>
          <w:lang w:val="el" w:eastAsia="el"/>
        </w:rPr>
        <w:t>4.</w:t>
      </w:r>
      <w:r>
        <w:rPr>
          <w:lang w:val="el" w:eastAsia="el"/>
        </w:rPr>
        <w:t xml:space="preserve"> Το πληροφοριακό σύστημα της Η.Π.Π. διαλειτουργεί, ιδίως με το Φορολογικό Μητρώο της Ανεξάρτητης Αρχής Δημοσίων Εσόδων (Α.Α.Δ.Ε.), το Μητρώο Πολιτών του Υπουργείου Εσωτερικών, Εθνικό Μητρώο ΑΜΚΑ-ΕΜΑ- ΕΣ και το σύστημα Ασφαλιστικής Κάλυψης της ΗΔΙΚΑ. Οι απαιτούμενες διαλειτουργικότητες διενεργούνται κατά προτεραιότητα από το Κέντρο Διαλειτουργικότητας (ΚΕ.Δ.) της Γενικής Γραμματείας Πληροφοριακών Συστημάτων Δημόσιας Διοίκησης (Γ.Γ.Π.Σ.Δ.Δ.), σύμφωνα με το άρθρο 84 του ν. 4727/2020, το άρθρο 47 του ν. 4623/2019 και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ΑΡΘΡΟ 13</w:t>
      </w:r>
    </w:p>
    <w:p>
      <w:pPr>
        <w:spacing w:before="240" w:after="240"/>
        <w:rPr>
          <w:lang w:val="el" w:eastAsia="el"/>
        </w:rPr>
      </w:pPr>
      <w:r>
        <w:rPr>
          <w:lang w:val="el" w:eastAsia="el"/>
        </w:rPr>
        <w:t>Δημοσίευση Τεχνικών Οδηγιών</w:t>
      </w:r>
    </w:p>
    <w:p>
      <w:pPr>
        <w:spacing w:before="240" w:after="240"/>
        <w:rPr>
          <w:lang w:val="el" w:eastAsia="el"/>
        </w:rPr>
      </w:pPr>
      <w:r>
        <w:rPr>
          <w:lang w:val="el" w:eastAsia="el"/>
        </w:rPr>
        <w:t>Ο Φορέας Υλοποίησης του Έργου δύναται να εκδίδει και να δημοσιεύει πληροφορίες και οδηγίες που εξειδικεύουν και επεξηγούν τις τεχνικές και διαδικαστικές πτυχές της παρούσας απόφασης.</w:t>
      </w:r>
    </w:p>
    <w:p>
      <w:pPr>
        <w:spacing w:before="240" w:after="240"/>
        <w:rPr>
          <w:lang w:val="el" w:eastAsia="el"/>
        </w:rPr>
      </w:pPr>
      <w:r>
        <w:rPr>
          <w:lang w:val="el" w:eastAsia="el"/>
        </w:rPr>
        <w:t>Μεταξύ άλλων, ο Φορέας Υλοποίησης πριν την έναρξη υποβολής αιτήσεων, θα δημοσιεύσει αναλυτικό οδηγό χρήσης της ηλεκτρονικής πλατφόρμας (Η.Π.Π.) της παρ. 1 του άρθρου 4, στον οποίο θα ορίζεται το χρονικό διάστημα έναρξης και λήξης για την υποβολή αιτήσεων συμμετοχής στο Πρόγραμμα, θα περιγράφονται οι αναγκαίες πληροφορίες που καταχωρούνται από τον αιτούντα, οι αντίστοιχες πληροφορίες που αντλούνται αυτόματα μέσω διασταύρωσης με ηλεκτρονικά μητρώα, καθώς και τυχόν επιπλέον στοιχεία/τεκμηρίωση που θα πρέπει να προσκομιστούν και να επισυναφθούν στην αίτηση, στην περίπτωση μη δυνατότητας αυτόματης ηλεκτρονικής επιβεβαίωσης συγκεκριμένων κριτηρίων επιλεξιμότητας. Παρομοίως, αντίστοιχες οδηγίες δύναται να εκδοθούν για τη χρήση της εφαρμογής, όταν η διαδικασία πραγματοποιείται μέσω ΚΕΠ.</w:t>
      </w:r>
    </w:p>
    <w:p>
      <w:pPr>
        <w:pStyle w:val="Heading6"/>
        <w:spacing w:before="240" w:after="240"/>
        <w:rPr>
          <w:lang w:val="el" w:eastAsia="el"/>
        </w:rPr>
      </w:pPr>
      <w:r>
        <w:rPr>
          <w:rStyle w:val="article-num"/>
          <w:lang w:val="el" w:eastAsia="el"/>
        </w:rPr>
        <w:t>ΑΡΘΡΟ 14</w:t>
      </w:r>
    </w:p>
    <w:p>
      <w:pPr>
        <w:spacing w:before="240" w:after="240"/>
        <w:rPr>
          <w:lang w:val="el" w:eastAsia="el"/>
        </w:rPr>
      </w:pPr>
      <w:r>
        <w:rPr>
          <w:lang w:val="el" w:eastAsia="el"/>
        </w:rPr>
        <w:t>Διάρκεια ισχύος ψηφιακών χρεωστικών καρτών</w:t>
      </w:r>
    </w:p>
    <w:p>
      <w:pPr>
        <w:spacing w:before="240" w:after="240"/>
        <w:rPr>
          <w:lang w:val="el" w:eastAsia="el"/>
        </w:rPr>
      </w:pPr>
      <w:r>
        <w:rPr>
          <w:lang w:val="el" w:eastAsia="el"/>
        </w:rPr>
        <w:t>Κάθε ψηφιακή χρεωστική κάρτα παραμένει σε ισχύ για έξι (6) ημερολογιακούς μήνες, επιπλέον του μήνα εντός του οποίου εκδόθηκε. Μετά την πάροδο του ανωτέρω χρονικού διαστήματος το πιστωτικό ίδρυμα ή ο χρηματοπιστωτικός οργανισμός υποχρεούται άμεσα να την απενεργοποιήσει.</w:t>
      </w:r>
    </w:p>
    <w:p>
      <w:pPr>
        <w:pStyle w:val="Heading6"/>
        <w:spacing w:before="240" w:after="240"/>
        <w:rPr>
          <w:lang w:val="el" w:eastAsia="el"/>
        </w:rPr>
      </w:pPr>
      <w:r>
        <w:rPr>
          <w:rStyle w:val="article-num"/>
          <w:lang w:val="el" w:eastAsia="el"/>
        </w:rPr>
        <w:t>ΑΡΘΡΟ 15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ΘΕΟΔΩΡΟΣ ΛΙΒΑΝΙΟΣ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