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710/123176/25-04-2023</w:t>
      </w:r>
    </w:p>
    <w:p>
      <w:pPr>
        <w:pStyle w:val="Title"/>
        <w:spacing w:before="120" w:after="360"/>
        <w:rPr>
          <w:lang w:val="el" w:eastAsia="el"/>
        </w:rPr>
      </w:pPr>
      <w:r>
        <w:rPr>
          <w:lang w:val="el" w:eastAsia="el"/>
        </w:rPr>
        <w:t>Χορήγηση ενισχύσεων ήσσονος σημασίας (de minimis) στον τομέα της παραγωγής γεωργικών προϊόντων και ειδικότερα στον τομέα των σταφυλιών ΠΕ Καβάλας, Σερρών, Κιλκίς και Χαλκιδικής έτους 2021, Φασόλια Γίγαντες ΠΕ Καστοριάς και Φλώρινας έτους 2019, θερμοκήπια στους Δήμους Αχαρνών, Κρωπίας, Διονύσου, Μαραθώνος και Ωρωπού της Π.Ε. Ανατολικής Αττικής έτους 2022, Αμυγδαλιές τοπικής κοινότητας Κεραμιδίου, Κερασέας και Καναλιών, Δήμου Ρήγα Φεραίου ΠΕ Μαγνησίας έτους 2022 και οινοποιήσιμα σταφύλια Δήμου Τυρνάβου έτους 2022 και λεπτομέρειες στα πλαίσια εφαρμογής του Κανονισμού (ΕΕ) αρ.1408/2013 της Επιτροπής (ΕΕ L 352, 24.12.2013)</w:t>
      </w:r>
    </w:p>
    <w:p>
      <w:pPr>
        <w:pStyle w:val="Title"/>
        <w:spacing w:before="120" w:after="360"/>
        <w:rPr>
          <w:lang w:val="el" w:eastAsia="el"/>
        </w:rPr>
      </w:pPr>
      <w:r>
        <w:rPr>
          <w:b/>
          <w:bCs/>
          <w:lang w:val="el" w:eastAsia="el"/>
        </w:rPr>
        <w:t>Αριθμ. 710/123176/25-04-2023</w:t>
      </w:r>
    </w:p>
    <w:p>
      <w:pPr>
        <w:pStyle w:val="PreambelText"/>
        <w:spacing w:before="240" w:after="240"/>
        <w:rPr>
          <w:lang w:val="el" w:eastAsia="el"/>
        </w:rPr>
      </w:pPr>
      <w:r>
        <w:rPr>
          <w:lang w:val="el" w:eastAsia="el"/>
        </w:rPr>
        <w:t>(ΦΕΚ Β' 2762/26-04-2023)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 παρ. 4 του ν.δ. 131/1974 «Περί παροχής οικονομικών ενισχύσεων εις την γεωργική, κτηνοτροφική, δασική και αλιευτική παραγωγή» (Α’ 320), όπως το ν.δ. τροποποιήθηκε και συμπληρώθηκε με τον ν. 1409/1983 «Τροποποίηση και συμπλήρωση των διατάξεων του ν.δ. 131/1974 “Περί παροχής οικονομικών ενισχύσεων εις την γεωργική, κτηνοτροφική, δασική και αλιευτική παραγωγή” και άλλες διατάξεις» (Α’ 199).</w:t>
      </w:r>
    </w:p>
    <w:p>
      <w:pPr>
        <w:pStyle w:val="PreambelText"/>
        <w:spacing w:before="240" w:after="240"/>
        <w:rPr>
          <w:lang w:val="el" w:eastAsia="el"/>
        </w:rPr>
      </w:pPr>
      <w:r>
        <w:rPr>
          <w:lang w:val="el" w:eastAsia="el"/>
        </w:rPr>
        <w:t>2.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3. Το άρθρο 62 παρ. 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6. Τον ν. 2065/1992, (Α’113) και ιδίως το άρθρο 39 παρ. 10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7. Τα άρθρα 66, 67, 77 παρ. 3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8. Τα άρθρα 13-29 του ν. 2637/1998 (Α’ 200) περί σύστασης Οργανισμού Πληρωμών κι Ελέγχου Κοινοτικών Ενισχύσεων Προσανατολισμού κι Εγγυήσεων (Ο.Π.Ε.Κ.Ε.Π.Ε.), όπως τροποποιήθηκαν και συμπληρώθηκαν με το άρθρο 4 του ν. 2732/1999 (Α’ 154), το άρθρο 24 του ν. 2945/2001 (Α’ 223) και το άρθρο 29 παρ. 1-8 του ν. 3147/2003 (Α’ 135).</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9. Την υπ’ αρ. 271562/2002 (Β’ 1042) απόφαση του Υπουργού Γεωργίας περί εγκρίσεως του ΟΠΕΚΕΠΕ ως Οργανισμού Πληρωμής από 1-9-2002.</w:t>
      </w:r>
    </w:p>
    <w:p>
      <w:pPr>
        <w:pStyle w:val="PreambelText"/>
        <w:spacing w:before="240" w:after="240"/>
        <w:rPr>
          <w:lang w:val="el" w:eastAsia="el"/>
        </w:rPr>
      </w:pPr>
      <w:r>
        <w:rPr>
          <w:lang w:val="el" w:eastAsia="el"/>
        </w:rPr>
        <w:t>10.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ΕΛΕΓΕΠ» (Β’ 1205).</w:t>
      </w:r>
    </w:p>
    <w:p>
      <w:pPr>
        <w:pStyle w:val="PreambelText"/>
        <w:spacing w:before="240" w:after="240"/>
        <w:rPr>
          <w:lang w:val="el" w:eastAsia="el"/>
        </w:rPr>
      </w:pPr>
      <w:r>
        <w:rPr>
          <w:lang w:val="el" w:eastAsia="el"/>
        </w:rPr>
        <w:t>11.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Ν.Π.Ι.Δ.» (Β’ 684).</w:t>
      </w:r>
    </w:p>
    <w:p>
      <w:pPr>
        <w:pStyle w:val="PreambelText"/>
        <w:spacing w:before="240" w:after="240"/>
        <w:rPr>
          <w:lang w:val="el" w:eastAsia="el"/>
        </w:rPr>
      </w:pPr>
      <w:r>
        <w:rPr>
          <w:lang w:val="el" w:eastAsia="el"/>
        </w:rPr>
        <w:t>12. Τον Κανονισμό (ΕΚ)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 σ. 9) όπως τροποποιήθηκε με τον Καν. (ΕΕ) αριθ. 316/2019.</w:t>
      </w:r>
    </w:p>
    <w:p>
      <w:pPr>
        <w:pStyle w:val="PreambelText"/>
        <w:spacing w:before="240" w:after="240"/>
        <w:rPr>
          <w:lang w:val="el" w:eastAsia="el"/>
        </w:rPr>
      </w:pPr>
      <w:r>
        <w:rPr>
          <w:lang w:val="el" w:eastAsia="el"/>
        </w:rPr>
        <w:t>13. Την ανάγκη στήριξης των παραγωγών γεωργικών προϊόντων σε περιόδους ειδικών δυσχερειών και ειδικότερα:</w:t>
      </w:r>
    </w:p>
    <w:p>
      <w:pPr>
        <w:pStyle w:val="StructureList1"/>
        <w:spacing w:before="120" w:after="0"/>
        <w:rPr>
          <w:lang w:val="el" w:eastAsia="el"/>
        </w:rPr>
      </w:pPr>
      <w:r>
        <w:rPr>
          <w:lang w:val="el" w:eastAsia="el"/>
        </w:rPr>
        <w:t>α)</w:t>
      </w:r>
      <w:r>
        <w:rPr>
          <w:lang w:val="en" w:eastAsia="en"/>
        </w:rPr>
        <w:tab/>
      </w:r>
      <w:r>
        <w:rPr>
          <w:lang w:val="el" w:eastAsia="el"/>
        </w:rPr>
        <w:t>Των παραγωγών μεγαλόσπερμων φασολιών (γίγαντες) που καλλιεργούνται στις ΠΕ Φλώρινας και Καστοριάς, εξαιτίας των υψηλών θερμοκρασιών που έλαβαν χώρα κατά την καλοκαιρινή περίοδο έτους 2019, οι οποίες προκάλεσαν ζημία στην παραγωγή, με συνέπεια την απώλεια εισοδήματος.</w:t>
      </w:r>
    </w:p>
    <w:p>
      <w:pPr>
        <w:pStyle w:val="StructureList1"/>
        <w:spacing w:before="120" w:after="0"/>
        <w:rPr>
          <w:lang w:val="el" w:eastAsia="el"/>
        </w:rPr>
      </w:pPr>
      <w:r>
        <w:rPr>
          <w:lang w:val="el" w:eastAsia="el"/>
        </w:rPr>
        <w:t>β)</w:t>
      </w:r>
      <w:r>
        <w:rPr>
          <w:lang w:val="en" w:eastAsia="en"/>
        </w:rPr>
        <w:tab/>
      </w:r>
      <w:r>
        <w:rPr>
          <w:lang w:val="el" w:eastAsia="el"/>
        </w:rPr>
        <w:t>Των παραγωγών επιτραπέζιων σταφυλιών στις ΠΕ Καβάλας, Σερρών, Κιλκίς και Χαλκιδικής, λόγω των έντονων ξηροθερμικών συνθηκών που επικράτησαν στις περιοχές αυτές κατά την καλοκαιρινή περίοδο έτους 2021 έχοντας ως απόρροια την αύξηση του κόστους παραγωγής και τη μείωση της παραγωγής, σε συνδυασμό με την επίταση της διαταραχής της τοπικής αγοράς όσο και των εξαγωγών από τους συνεχιζόμενους περιορισμούς εξαιτίας της COVID-19, με αποτέλεσμα να καταστεί ζημιογόνος η καλλιέργεια.</w:t>
      </w:r>
    </w:p>
    <w:p>
      <w:pPr>
        <w:pStyle w:val="StructureList1"/>
        <w:spacing w:before="120" w:after="0"/>
        <w:rPr>
          <w:lang w:val="el" w:eastAsia="el"/>
        </w:rPr>
      </w:pPr>
      <w:r>
        <w:rPr>
          <w:lang w:val="el" w:eastAsia="el"/>
        </w:rPr>
        <w:t>γ)</w:t>
      </w:r>
      <w:r>
        <w:rPr>
          <w:lang w:val="en" w:eastAsia="en"/>
        </w:rPr>
        <w:tab/>
      </w:r>
      <w:r>
        <w:rPr>
          <w:lang w:val="el" w:eastAsia="el"/>
        </w:rPr>
        <w:t>Των παραγωγών κηπευτικών και ανθοκομικών υπό κάλυψη που περιλαμβάνονται στο από 22/06/2022 πόρισμα της Ομάδας εργασίας που συστάθηκε με την υπ’ αρ. 35/51511/25-2-2022 απόφαση του Υπουργού Αγροτικής Ανάπτυξης και Τροφίμων, οι οποίοι διαθέτουν θερμοκηπιακές κατασκευές στους Δήμους Αχαρνών, Κρωπίας, Διονύσου, Μαραθώνος και Ωρωπού της Π.Ε. Ανατολικής Αττικής λόγω της ζημίας που υπέστησαν από τις χιονοπτώσεις που έλαβαν χώρα στις 24 και 25 Ιανουαρίου 2022 («κακοκαιρία Ελπίδα»).</w:t>
      </w:r>
    </w:p>
    <w:p>
      <w:pPr>
        <w:pStyle w:val="StructureList1"/>
        <w:spacing w:before="120" w:after="0"/>
        <w:rPr>
          <w:lang w:val="el" w:eastAsia="el"/>
        </w:rPr>
      </w:pPr>
      <w:r>
        <w:rPr>
          <w:lang w:val="el" w:eastAsia="el"/>
        </w:rPr>
        <w:t>δ)</w:t>
      </w:r>
      <w:r>
        <w:rPr>
          <w:lang w:val="en" w:eastAsia="en"/>
        </w:rPr>
        <w:tab/>
      </w:r>
      <w:r>
        <w:rPr>
          <w:lang w:val="el" w:eastAsia="el"/>
        </w:rPr>
        <w:t>Των παραγωγών αμυγδάλων στην περιοχή Καναλίων και ειδικότερα στις Δημοτικές Κοινότητες Καναλίων, Κερασιάς, Κεραμιδίου Δήμου Ρήγα Φεραίου της Περιφερειακής Ενότητας Μαγνησίας, εξαιτίας των ακραίων καιρικών φαινομένων που έπληξαν την περιοχή στις 13/03/2022 και 21/03/2022 και της προσβολής από τον μύκητα Fusicoccum amygdali, με συνέπεια την απώλεια εισοδήματος.</w:t>
      </w:r>
    </w:p>
    <w:p>
      <w:pPr>
        <w:pStyle w:val="StructureList1"/>
        <w:spacing w:before="120" w:after="0"/>
        <w:rPr>
          <w:lang w:val="el" w:eastAsia="el"/>
        </w:rPr>
      </w:pPr>
      <w:r>
        <w:rPr>
          <w:lang w:val="el" w:eastAsia="el"/>
        </w:rPr>
        <w:t>ε)</w:t>
      </w:r>
      <w:r>
        <w:rPr>
          <w:lang w:val="en" w:eastAsia="en"/>
        </w:rPr>
        <w:tab/>
      </w:r>
      <w:r>
        <w:rPr>
          <w:lang w:val="el" w:eastAsia="el"/>
        </w:rPr>
        <w:t>Των παραγωγών οινοποιήσιμων σταφυλιών του Δήμου Τυρνάβου της Π.Ε Λάρισας για το έτος 2022 εξαιτίας της προσβολής των αμπελιών από ασθένειες, σε συνδυασμό με τη δυσχέρεια στην οποία έχουν περιέλθει οι παραγωγοί, ως απόρροια και του σεισμού που έπληξε την περιοχή στις 03-03-2021.</w:t>
      </w:r>
    </w:p>
    <w:p>
      <w:pPr>
        <w:pStyle w:val="PreambelText"/>
        <w:spacing w:before="240" w:after="240"/>
        <w:rPr>
          <w:lang w:val="el" w:eastAsia="el"/>
        </w:rPr>
      </w:pPr>
      <w:r>
        <w:rPr>
          <w:lang w:val="el" w:eastAsia="el"/>
        </w:rPr>
        <w:t>14. Το γεγονός ότι το συνολικό ποσό, που δύναται να χορηγηθεί ως ενίσχυση ήσσονος σημασίας «de minimis» στον τομέα παραγωγής γεωργικών προϊόντων, δεν υπερβαίνει το εθνικό ανώτατο όριο τριετίας, το οποίο για την Ελλάδα ανέρχεται σε 134.272.042 ευρώ σύμφωνα με το Παράρτημα Ι του Κανονισμού (ΕΚ) 316/2019.</w:t>
      </w:r>
    </w:p>
    <w:p>
      <w:pPr>
        <w:pStyle w:val="PreambelText"/>
        <w:spacing w:before="240" w:after="240"/>
        <w:rPr>
          <w:lang w:val="el" w:eastAsia="el"/>
        </w:rPr>
      </w:pPr>
      <w:r>
        <w:rPr>
          <w:lang w:val="el" w:eastAsia="el"/>
        </w:rPr>
        <w:t>15. Το γεγονός ότι για την τριετία 2021-2023 έχουν χορηγηθεί ενισχύσεις ήσσονος σημασίας συνολικού ύψους 104.020.461 ευρώ στον γεωργικό τομέα αλλά το συνολικό ποσό ενίσχυσης ήσσονος σημασίας δεν υπερβαίνει το ανώτατο όριο για την τριετία 2021-2023 που καθορίζεται στο Παράρτημα Ι του Κανονισμού (ΕΕ) 316/2019.</w:t>
      </w:r>
    </w:p>
    <w:p>
      <w:pPr>
        <w:pStyle w:val="PreambelText"/>
        <w:spacing w:before="240" w:after="240"/>
        <w:rPr>
          <w:lang w:val="el" w:eastAsia="el"/>
        </w:rPr>
      </w:pPr>
      <w:r>
        <w:rPr>
          <w:lang w:val="el" w:eastAsia="el"/>
        </w:rPr>
        <w:t>16. Το γεγονός ότι από την υλοποίηση της παρούσας προκαλείται δαπάνη ύψους κατ’ ανώτατο όριο:</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6.675.540 ευρώ,</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1.816.788 ευρώ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104.640 ευρώ για το οικονομικό έτος 2023, σε βάρος του ΕΛΕΓΕΠ, η οποία καλύπτεται από πιστώσεις που μεταφέρθηκαν με τις υπ’ αρ. α) 2/33720/11.04.2023, β) 2/33780/12.04.2023</w:t>
      </w:r>
      <w:r>
        <w:rPr>
          <w:rStyle w:val="Hyperlink"/>
          <w:color w:val="000000"/>
          <w:sz w:val="20"/>
          <w:szCs w:val="20"/>
          <w:u w:val="none" w:color="0000EE"/>
          <w:vertAlign w:val="superscript"/>
          <w:lang w:val="el" w:eastAsia="el"/>
        </w:rPr>
        <w:footnoteReference w:id="5"/>
      </w:r>
    </w:p>
    <w:p>
      <w:pPr>
        <w:pStyle w:val="PreambelText"/>
        <w:spacing w:before="240" w:after="240"/>
        <w:rPr>
          <w:lang w:val="el" w:eastAsia="el"/>
        </w:rPr>
      </w:pPr>
      <w:r>
        <w:rPr>
          <w:lang w:val="el" w:eastAsia="el"/>
        </w:rPr>
        <w:t>και γ) 2/45696/10.05.2023 αποφάσεις ενίσχυσης του τακτικού προϋπολογισμού του Υπ.Α.Α. Τ., Ε.Φ. 1029-5010000000, ΑΛΕ 2390901002 «Οικονομικές ενισχύσεις γεωργικού χαρακτήρα σε νομικά πρόσωπα και ειδικούς λογαριασμούς.</w:t>
      </w:r>
      <w:r>
        <w:rPr>
          <w:rStyle w:val="Hyperlink"/>
          <w:color w:val="000000"/>
          <w:sz w:val="20"/>
          <w:szCs w:val="20"/>
          <w:u w:val="none" w:color="0000EE"/>
          <w:vertAlign w:val="superscript"/>
          <w:lang w:val="el" w:eastAsia="el"/>
        </w:rPr>
        <w:footnoteReference w:id="6"/>
      </w:r>
    </w:p>
    <w:p>
      <w:pPr>
        <w:pStyle w:val="PreambelText"/>
        <w:spacing w:before="240" w:after="240"/>
        <w:rPr>
          <w:lang w:val="el" w:eastAsia="el"/>
        </w:rPr>
      </w:pPr>
      <w:r>
        <w:rPr>
          <w:lang w:val="el" w:eastAsia="el"/>
        </w:rPr>
        <w:t>17.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18. Το π.δ. 8/2022 «Διορισμός Υπουργού Αγροτικής Ανάπτυξης και Τροφίμων» (Α’ 19).</w:t>
      </w:r>
    </w:p>
    <w:p>
      <w:pPr>
        <w:pStyle w:val="PreambelText"/>
        <w:spacing w:before="240" w:after="240"/>
        <w:rPr>
          <w:lang w:val="el" w:eastAsia="el"/>
        </w:rPr>
      </w:pPr>
      <w:r>
        <w:rPr>
          <w:lang w:val="el" w:eastAsia="el"/>
        </w:rPr>
        <w:t>19. Τις υπ’ αρ. α) 6695/91989/12.04.2023 απόφαση έγκρισης δέσμευσης πίστωσης ύψους 6.675.540 ευρώ της Διεύθυνσης Οικονομικής Διαχείρισης του ΥΠΑΑΤ,</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8292/114520/13.04.20233 απόφαση έγκρισης δέσμευσης πίστωσης ύψους 1.816.788. ευρώ της Διεύθυνσης Οικονομικής Διαχείρισης του Υπ.Α.Α.Τ.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9502/134380/11.05.2023 απόφαση έγκρισης δέσμευσης πίστωσης ύψους 104.640 ευρώ της Διεύθυνσης Οικονομικής Διαχείρισης του Υπ.Α.Α.Τ., οι οποίες καταχωρήθηκαν: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α/α 37830 στο Βιβλίο Εγκρίσεων και Εντολών Πληρωμής της Γενικής Διεύθυνσης Οικονομικών Υπηρεσιών του Υπουργείου Αγροτικής Ανάπτυξης και Τροφίμων (Υπ.Α.Α.Τ), (ΑΔΑ: Ψ36Ω4653ΠΓΥΩΡ.)</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με α/α 38126 στο Βιβλίο Εγκρίσεων και Εντολών Πληρωμής της Γενικής Διεύθυνσης Οικονομικών Υπηρεσιών του Υπουργείου Αγροτικής Ανάπτυξης και Τροφίμων (ΑΔΑ: ΨΨΚΝ4653ΠΓ-ΣΜΠ)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με α/α 44370 στο Βιβλίο Εγκρίσεων και Εντολών Πληρωμής της Γενικής Διεύθυνσης Οικονομικών Υπηρεσιών του Υπ.Α.Α.Τ. (ΑΔΑ: ΨΗ404653ΠΓ-Α7Λ).</w:t>
      </w:r>
      <w:r>
        <w:rPr>
          <w:rStyle w:val="Hyperlink"/>
          <w:color w:val="000000"/>
          <w:sz w:val="20"/>
          <w:szCs w:val="20"/>
          <w:u w:val="none" w:color="0000EE"/>
          <w:vertAlign w:val="superscript"/>
          <w:lang w:val="el" w:eastAsia="el"/>
        </w:rPr>
        <w:footnoteReference w:id="12"/>
      </w:r>
    </w:p>
    <w:p>
      <w:pPr>
        <w:pStyle w:val="PreambelText"/>
        <w:spacing w:before="240" w:after="240"/>
        <w:rPr>
          <w:lang w:val="el" w:eastAsia="el"/>
        </w:rPr>
      </w:pPr>
      <w:r>
        <w:rPr>
          <w:lang w:val="el" w:eastAsia="el"/>
        </w:rPr>
        <w:t>20. Την υπό στοιχεία ΓΝ069/2023 γνωμοδότηση της ΚΕΜΚΕ του Υπουργείου Οικονομικών.</w:t>
      </w:r>
    </w:p>
    <w:p>
      <w:pPr>
        <w:pStyle w:val="PreambelText"/>
        <w:spacing w:before="240" w:after="240"/>
        <w:rPr>
          <w:lang w:val="el" w:eastAsia="el"/>
        </w:rPr>
      </w:pPr>
      <w:r>
        <w:rPr>
          <w:lang w:val="el" w:eastAsia="el"/>
        </w:rPr>
        <w:t>21. Την υπ’ αρ. 663/114824/13-42023 (Ορθή Επανάληψη) εισήγηση της Γενικής Διεύθυνσης Οικονομικών Υπηρεσιών του Υπ.Α.Α. Τ. του άρθρου 24, παρ. 5, περ. ε’ του ν. 4270/2014, όπως ισχύει επί του προτεινόμενου σχεδίου ΚΥΑ,</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Κανονισμό (ΕΕ) 1408/2013 όπως τροποποιήθηκε με τον Καν. (ΕΕ) 316/2019.</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γεωργοί που δραστηριοποιούνται:</w:t>
      </w:r>
    </w:p>
    <w:p>
      <w:pPr>
        <w:pStyle w:val="MainText"/>
        <w:spacing w:before="120" w:after="0"/>
        <w:rPr>
          <w:lang w:val="el" w:eastAsia="el"/>
        </w:rPr>
      </w:pPr>
      <w:r>
        <w:rPr>
          <w:b/>
          <w:bCs/>
          <w:lang w:val="el" w:eastAsia="el"/>
        </w:rPr>
        <w:t>1.</w:t>
      </w:r>
      <w:r>
        <w:rPr>
          <w:lang w:val="el" w:eastAsia="el"/>
        </w:rPr>
        <w:t xml:space="preserve"> Στην καλλιέργεια φασολιών πλακέ γίγαντες και φασολιών γίγαντες ελέφαντες στις ΠΕ Φλώρινας και ΠΕ Καστοριάς, για το έτος 2019.</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Στην καλλιέργεια επιτραπέζιων σταφυλιών ΠΕ Καβάλας, Σερρών, Κιλκίς και Χαλκιδικής, για το έτος 2021.</w:t>
      </w:r>
    </w:p>
    <w:p>
      <w:pPr>
        <w:pStyle w:val="MainText"/>
        <w:spacing w:before="120" w:after="0"/>
        <w:rPr>
          <w:lang w:val="el" w:eastAsia="el"/>
        </w:rPr>
      </w:pPr>
      <w:r>
        <w:rPr>
          <w:b/>
          <w:bCs/>
          <w:lang w:val="el" w:eastAsia="el"/>
        </w:rPr>
        <w:t>3.</w:t>
      </w:r>
      <w:r>
        <w:rPr>
          <w:lang w:val="el" w:eastAsia="el"/>
        </w:rPr>
        <w:t xml:space="preserve"> Στην καλλιέργεια κηπευτικών και ανθοκομικών υπό κάλυψη, οι οποίοι περιλαμβάνονται στο από 22/06/2022 πόρισμα της Ομάδας εργασίας που συστάθηκε με την υπ’ αρ. 35/51511/25-2-2022 απόφαση του Υπουργού Αγροτικής Ανάπτυξης και Τροφίμων και στο από 25-06-2022 ενημερωτικό σημείωμα του Υποκαταστήματος Αθηνών του ΕΛ.Γ.Α και διαθέτουν θερμοκηπιακές κατασκευές στους Δήμους Αχαρνών, Κρωπίας, Διονύσου, Μαραθώνος και Ωρωπού της Π.Ε. Ανατολικής Αττικής, για το έτος 2022.</w:t>
      </w:r>
    </w:p>
    <w:p>
      <w:pPr>
        <w:pStyle w:val="MainText"/>
        <w:spacing w:before="120" w:after="0"/>
        <w:rPr>
          <w:lang w:val="el" w:eastAsia="el"/>
        </w:rPr>
      </w:pPr>
      <w:r>
        <w:rPr>
          <w:b/>
          <w:bCs/>
          <w:lang w:val="el" w:eastAsia="el"/>
        </w:rPr>
        <w:t>4.</w:t>
      </w:r>
      <w:r>
        <w:rPr>
          <w:lang w:val="el" w:eastAsia="el"/>
        </w:rPr>
        <w:t xml:space="preserve"> Στην καλλιέργεια αμυγδάλων στις Δημοτικές Κοινότητες Καναλίων, Κερασιάς, Κεραμιδίου Δήμου Ρήγα Φεραίου της Περιφερειακής Ενότητας Μαγνησίας, για το έτος 2022.</w:t>
      </w:r>
    </w:p>
    <w:p>
      <w:pPr>
        <w:pStyle w:val="MainText"/>
        <w:spacing w:before="120" w:after="0"/>
        <w:rPr>
          <w:lang w:val="el" w:eastAsia="el"/>
        </w:rPr>
      </w:pPr>
      <w:r>
        <w:rPr>
          <w:b/>
          <w:bCs/>
          <w:lang w:val="el" w:eastAsia="el"/>
        </w:rPr>
        <w:t>5.</w:t>
      </w:r>
      <w:r>
        <w:rPr>
          <w:lang w:val="el" w:eastAsia="el"/>
        </w:rPr>
        <w:t xml:space="preserve"> Στην καλλιέργεια οινοποιήσιμων σταφυλιών Δήμου Τυρνάβου της Π.Ε Λάρισας για το έτος 2022.</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Στο πλαίσιο της παρούσας απόφασης, οι ενισχύσεις χορηγούνται με βάση τον Καν. (ΕΕ)1408/2013, όπως τροποποιήθηκε με τον Καν. (ΕΕ) αριθ. 316/2019.</w:t>
      </w:r>
    </w:p>
    <w:p>
      <w:pPr>
        <w:pStyle w:val="MainText"/>
        <w:spacing w:before="120" w:after="0"/>
        <w:rPr>
          <w:lang w:val="el" w:eastAsia="el"/>
        </w:rPr>
      </w:pPr>
      <w:r>
        <w:rPr>
          <w:b/>
          <w:bCs/>
          <w:lang w:val="el" w:eastAsia="el"/>
        </w:rPr>
        <w:t>2.</w:t>
      </w:r>
      <w:r>
        <w:rPr>
          <w:lang w:val="el" w:eastAsia="el"/>
        </w:rPr>
        <w:t xml:space="preserve"> Δεν δύνανται να χορηγηθούν ενισχύσεις:</w:t>
      </w:r>
    </w:p>
    <w:p>
      <w:pPr>
        <w:spacing w:before="240" w:after="240"/>
        <w:rPr>
          <w:lang w:val="el" w:eastAsia="el"/>
        </w:rPr>
      </w:pPr>
      <w:r>
        <w:rPr>
          <w:lang w:val="el" w:eastAsia="el"/>
        </w:rPr>
        <w:t>α. Το ύψος των οποίων καθορίζεται με βάση την τιμή ή την ποσότητα των προϊόντων που αγοράζονται ή διατίθενται στην αγορά.</w:t>
      </w:r>
    </w:p>
    <w:p>
      <w:pPr>
        <w:spacing w:before="240" w:after="240"/>
        <w:rPr>
          <w:lang w:val="el" w:eastAsia="el"/>
        </w:rPr>
      </w:pPr>
      <w:r>
        <w:rPr>
          <w:lang w:val="el" w:eastAsia="el"/>
        </w:rPr>
        <w:t>β.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spacing w:before="240" w:after="240"/>
        <w:rPr>
          <w:lang w:val="el" w:eastAsia="el"/>
        </w:rPr>
      </w:pPr>
      <w:r>
        <w:rPr>
          <w:lang w:val="el" w:eastAsia="el"/>
        </w:rPr>
        <w:t>γ.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3.</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(άρθρο 1, παρ. 2 και 3 του Καν. (ΕΕ) 1408/2013).</w:t>
      </w:r>
    </w:p>
    <w:p>
      <w:pPr>
        <w:pStyle w:val="MainText"/>
        <w:spacing w:before="120" w:after="0"/>
        <w:rPr>
          <w:lang w:val="el" w:eastAsia="el"/>
        </w:rPr>
      </w:pPr>
      <w:r>
        <w:rPr>
          <w:b/>
          <w:bCs/>
          <w:lang w:val="el" w:eastAsia="el"/>
        </w:rPr>
        <w:t>4.</w:t>
      </w:r>
      <w:r>
        <w:rPr>
          <w:lang w:val="el" w:eastAsia="el"/>
        </w:rPr>
        <w:t xml:space="preserve"> Η ενίσχυση χορηγείται μόνον εφόσον εξακριβωθεί ότι η εν λόγω ενίσχυση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στο άρθρο 3 παρ. 2, 3 και 3α, και ότι τηρούνται όλοι οι όροι του Καν. (ΕΕ) αριθ. 1408/2013.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w:t>
      </w:r>
    </w:p>
    <w:p>
      <w:pPr>
        <w:pStyle w:val="StructureList1"/>
        <w:spacing w:before="120" w:after="0"/>
        <w:rPr>
          <w:lang w:val="el" w:eastAsia="el"/>
        </w:rPr>
      </w:pPr>
      <w:r>
        <w:rPr>
          <w:lang w:val="el" w:eastAsia="el"/>
        </w:rPr>
        <w:t>α)</w:t>
      </w:r>
      <w:r>
        <w:rPr>
          <w:lang w:val="en" w:eastAsia="en"/>
        </w:rPr>
        <w:tab/>
      </w:r>
      <w:r>
        <w:rPr>
          <w:lang w:val="el" w:eastAsia="el"/>
        </w:rPr>
        <w:t>οι γεωργοί που διαθέτουν αγροτεμάχια με καλλιέργεια φασολιών πλακέ-γίγαντες και φασολιών γίγαντες ελέφαντες στις ΠΕ Φλώρινας και ΠΕ Καστοριάς, οι οποίοι έχουν υποβάλλει ενιαία αίτηση ενίσχυσης για το έτος 2019 και διατηρούν τουλάχιστον ένα (1) στρέμμα καλλιέργειας ανά ποικιλία,</w:t>
      </w:r>
    </w:p>
    <w:p>
      <w:pPr>
        <w:pStyle w:val="StructureList1"/>
        <w:spacing w:before="120" w:after="0"/>
        <w:rPr>
          <w:lang w:val="el" w:eastAsia="el"/>
        </w:rPr>
      </w:pPr>
      <w:r>
        <w:rPr>
          <w:lang w:val="el" w:eastAsia="el"/>
        </w:rPr>
        <w:t>β)</w:t>
      </w:r>
      <w:r>
        <w:rPr>
          <w:lang w:val="en" w:eastAsia="en"/>
        </w:rPr>
        <w:tab/>
      </w:r>
      <w:r>
        <w:rPr>
          <w:lang w:val="el" w:eastAsia="el"/>
        </w:rPr>
        <w:t>οι γεωργοί που διαθέτουν αγροτεμάχια με καλλιέργεια επιτραπέζιων σταφυλιών στις ΠΕ Καβάλας, Σερρών, Κιλκίς και Χαλκιδικής, οι οποίοι έχουν υποβάλλει ενιαία αίτηση ενίσχυσης για το έτος 2021, διαθέτουν αμπέλια σε ωρίμανση (άνω των 3 ετών) ανά ποικιλία και διατηρούν τουλάχιστον ένα (1) στρέμμα καλλιέργειας αμπελιού σε ωρίμανση ανά ποικιλία επιτραπέζιου σταφυλιού,</w:t>
      </w:r>
    </w:p>
    <w:p>
      <w:pPr>
        <w:pStyle w:val="StructureList1"/>
        <w:spacing w:before="120" w:after="0"/>
        <w:rPr>
          <w:lang w:val="el" w:eastAsia="el"/>
        </w:rPr>
      </w:pPr>
      <w:r>
        <w:rPr>
          <w:lang w:val="el" w:eastAsia="el"/>
        </w:rPr>
        <w:t>γ)</w:t>
      </w:r>
      <w:r>
        <w:rPr>
          <w:lang w:val="en" w:eastAsia="en"/>
        </w:rPr>
        <w:tab/>
      </w:r>
      <w:r>
        <w:rPr>
          <w:lang w:val="el" w:eastAsia="el"/>
        </w:rPr>
        <w:t>οι γεωργοί που δραστηριοποιούνται στη καλλιέργεια κηπευτικών και ανθοκομικών υπό κάλυψη, οι οποίοι περιλαμβάνονται στο από 22/06/2022 πόρισμα της Ομάδας εργασίας που συστάθηκε με την υπ’ αρ. 35/51511/25-2-2022 απόφαση του Υπουργού Αγροτικής Ανάπτυξης και Τροφίμων και στο από 25-06-2022 ενημερωτικό σημείωμα του Υποκαταστήματος Αθηνών του ΕΛ.Γ.Α και διαθέτουν θερμοκηπιακές κατασκευές στους Δήμους Αχαρνών, Κρωπίας, Διονύσου, Μαραθώνος και Ωρωπού της Π.Ε. Ανατολικής Αττικής, οι οποίοι έχουν υποβάλλει ενιαία αίτηση ενίσχυσης για το έτος 2022,</w:t>
      </w:r>
    </w:p>
    <w:p>
      <w:pPr>
        <w:pStyle w:val="StructureList1"/>
        <w:spacing w:before="120" w:after="0"/>
        <w:rPr>
          <w:lang w:val="el" w:eastAsia="el"/>
        </w:rPr>
      </w:pPr>
      <w:r>
        <w:rPr>
          <w:lang w:val="el" w:eastAsia="el"/>
        </w:rPr>
        <w:t>δ)</w:t>
      </w:r>
      <w:r>
        <w:rPr>
          <w:lang w:val="en" w:eastAsia="en"/>
        </w:rPr>
        <w:tab/>
      </w:r>
      <w:r>
        <w:rPr>
          <w:lang w:val="el" w:eastAsia="el"/>
        </w:rPr>
        <w:t>οι γεωργοί που διαθέτουν αγροτεμάχια με καλλιέργεια αμυγδάλων στη Δημοτική Κοινότητας Κεραμιδίου, Κερασιάς και Καναλίων Δήμου Ρήγα Φεραίου της Π.Ε. Μαγνησίας, οι οποίοι έχουν υποβάλλει ενιαία αίτηση ενίσχυσης για το έτος 2022, διαθέτουν τουλάχιστον ένα (1) παραγωγικό δέντρο ανά ποικιλία και διατηρούν τουλάχιστον ένα (1) στρέμμα καλλιέργειας ανά ποικιλία,</w:t>
      </w:r>
    </w:p>
    <w:p>
      <w:pPr>
        <w:pStyle w:val="StructureList1"/>
        <w:spacing w:before="120" w:after="0"/>
        <w:rPr>
          <w:lang w:val="el" w:eastAsia="el"/>
        </w:rPr>
      </w:pPr>
      <w:r>
        <w:rPr>
          <w:lang w:val="el" w:eastAsia="el"/>
        </w:rPr>
        <w:t>ε)</w:t>
      </w:r>
      <w:r>
        <w:rPr>
          <w:lang w:val="en" w:eastAsia="en"/>
        </w:rPr>
        <w:tab/>
      </w:r>
      <w:r>
        <w:rPr>
          <w:lang w:val="el" w:eastAsia="el"/>
        </w:rPr>
        <w:t>οι γεωργοί που διαθέτουν αγροτεμάχια με καλλιέργεια οινοποιήσιμων σταφυλιών στο Δήμο Τυρνάβου της ΠΕ Λάρισας, οι οποίοι έχουν υποβάλλει ενιαία αίτηση ενίσχυσης για το έτος 2022, διαθέτουν αμπέλια σε ωρίμανση (άνω των 3 ετών) και διατηρούν τουλάχιστον ένα (1) στρέμμα καλλιέργειας αμπελιού σε ωρίμανση.</w:t>
      </w:r>
    </w:p>
    <w:p>
      <w:pPr>
        <w:pStyle w:val="MainText"/>
        <w:spacing w:before="120" w:after="0"/>
        <w:rPr>
          <w:lang w:val="el" w:eastAsia="el"/>
        </w:rPr>
      </w:pPr>
      <w:r>
        <w:rPr>
          <w:b/>
          <w:bCs/>
          <w:lang w:val="el" w:eastAsia="el"/>
        </w:rPr>
        <w:t>2.</w:t>
      </w:r>
      <w:r>
        <w:rPr>
          <w:lang w:val="el" w:eastAsia="el"/>
        </w:rPr>
        <w:t xml:space="preserve"> Το ύψος του κατ’ αποκοπή ποσού ενίσχυσης ήσσονος σημασίας (de minimis) καθορίζεται: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της περ. α της παρ. 1, για όσους δικαιούχους έχουν αγροτεμάχια στην ΠΕ Φλώρινας σε 70€/στρ. και για όσους δικαιούχους έχουν αγροτεμάχια στην ΠΕ Καστοριάς σε 105€/στρ. Όσοι από τους δικαιούχους της περ. α της παρ. 1 είναι εγγεγραμμένοι στο Μητρώο Αγροτών και Αγροτικών Εκμεταλλεύσεων (Μ.Α.Ε.Ε.) του Υπ.Α.Α.Τ με την ιδιότητα του “επαγγελματία αγρότη” για το έτος 2019 από 01.01.2019 έως και την 23.02.2022, λαμβάνουν το 100% του ύψους της ενίσχυσης. Οι υπόλοιποι δικαιούχοι της περ. α της παρ. 1, λαμβάνουν το 50% του ύψους της ενίσχυσης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της περ. β της παρ. 1, σε 150 ευρώ/στρέμμα. Όσοι από τους δικαιούχους της περ. β της παρ. 1 είναι εγγεγραμμένοι στο Μητρώο Αγροτών και Αγροτικών Εκμεταλλεύσεων (Μ.Α.Ε.Ε.) του Υπ.Α.Α.Τ με την ιδιότητα του “επαγγελματία αγρότη” για το έτος 2021 από 01.01.2021 έως και την 23.02.2022, λαμβάνουν το 100% του ύψους της ενίσχυσης. Οι υπόλοιποι δικαιούχοι της περ. β της παρ. 1, λαμβάνουν το 50% του ύψους της ενίσχυσης,</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της περ. γ της παρ. 1, το ύψος της αποζημίωσης καθορίζεται σύμφωνα με το Παράρτημα Ι,</w:t>
      </w:r>
    </w:p>
    <w:p>
      <w:pPr>
        <w:pStyle w:val="StructureList1"/>
        <w:spacing w:before="120" w:after="0"/>
        <w:rPr>
          <w:lang w:val="el" w:eastAsia="el"/>
        </w:rPr>
      </w:pPr>
      <w:r>
        <w:rPr>
          <w:lang w:val="el" w:eastAsia="el"/>
        </w:rPr>
        <w:t>δ)</w:t>
      </w:r>
      <w:r>
        <w:rPr>
          <w:lang w:val="en" w:eastAsia="en"/>
        </w:rPr>
        <w:tab/>
      </w:r>
      <w:r>
        <w:rPr>
          <w:lang w:val="el" w:eastAsia="el"/>
        </w:rPr>
        <w:t>για τους δικαιούχους της περ. δ της παρ. 1, σε 90€/ στρ. και</w:t>
      </w:r>
    </w:p>
    <w:p>
      <w:pPr>
        <w:pStyle w:val="StructureList1"/>
        <w:spacing w:before="120" w:after="0"/>
        <w:rPr>
          <w:lang w:val="el" w:eastAsia="el"/>
        </w:rPr>
      </w:pPr>
      <w:r>
        <w:rPr>
          <w:lang w:val="el" w:eastAsia="el"/>
        </w:rPr>
        <w:t>ε)</w:t>
      </w:r>
      <w:r>
        <w:rPr>
          <w:lang w:val="en" w:eastAsia="en"/>
        </w:rPr>
        <w:tab/>
      </w:r>
      <w:r>
        <w:rPr>
          <w:lang w:val="el" w:eastAsia="el"/>
        </w:rPr>
        <w:t>για τους δικαιούχους της περ. ε της παρ. 1 σε 120€/ στρ.</w:t>
      </w:r>
    </w:p>
    <w:p>
      <w:pPr>
        <w:spacing w:before="240" w:after="240"/>
        <w:rPr>
          <w:lang w:val="el" w:eastAsia="el"/>
        </w:rPr>
      </w:pPr>
      <w:r>
        <w:rPr>
          <w:lang w:val="el" w:eastAsia="el"/>
        </w:rPr>
        <w:t>Όσοι από τους δικαιούχους των περ. γ, δ και ε της παρ. 1 είναι εγγεγραμμένοι στο Μητρώο Αγροτών και Αγροτικών Εκμεταλλεύσεων (Μ.Α.Ε.Ε.) του Υπ.Α.Α.Τ με την ιδιότητα του “επαγγελματία αγρότη” για το έτος 2022 από 01.01.2022 έως την 13.03.2023, λαμβάνουν το 100% του ύψους της ενίσχυσης. Οι υπόλοιποι δικαιούχοι των περ. γ, δ και ε, της παρ. 1, λαμβάνουν το 50% του ύψους της ενίσχυσης κατά περίπτωση.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 (ΕΕ)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I του Καν (ΕΕ) 316/2019 (134.272.042).</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Κάθε δικαιούχος που θα ενημερωθεί σχετικώς από τον Ο.Π.Ε.Κ.Ε.Π.Ε. οφείλει να προσκομίσει εντός δύο (2) εργάσιμων ημερών, το αργότερο, υπεύθυνη δήλωση σύμφωνα με το Παράρτημα ΙΙ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δημόσια δαπάνη που προκύπτει από την εφαρμογή της παρούσας απόφασης βαρύνει τον Ειδικό Λογαριασμό Εγγυήσεων Γεωργικών Προϊόντων (ΕΛΕΓΕΠ), ο οποίος θα χρηματοδοτηθεί με μεταφορά του αντίστοιχου ποσού για το έτος 2023 από τον προϋπολογισμό του Υπ.Α.Α. Τ.</w:t>
      </w:r>
    </w:p>
    <w:p>
      <w:pPr>
        <w:pStyle w:val="MainText"/>
        <w:spacing w:before="120" w:after="0"/>
        <w:rPr>
          <w:lang w:val="el" w:eastAsia="el"/>
        </w:rPr>
      </w:pPr>
      <w:r>
        <w:rPr>
          <w:b/>
          <w:bCs/>
          <w:lang w:val="el" w:eastAsia="el"/>
        </w:rPr>
        <w:t>2.</w:t>
      </w:r>
      <w:r>
        <w:rPr>
          <w:lang w:val="el" w:eastAsia="el"/>
        </w:rPr>
        <w:t xml:space="preserve"> Για το έτος 2023 το ύψος της χρηματοδότησης ανέρχεται μέχρι του ποσού των 8.596.968 ευρώ, υπό τον όρο μη υπέρβασης του ορίου του άρθρου 4 της παρούσας απόφασης.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Οργανισμός πληρωμής των ενισχύσεων ορίζεται ο Ο.Π.Ε.Κ.Ε.Π.Ε.</w:t>
      </w:r>
    </w:p>
    <w:p>
      <w:pPr>
        <w:pStyle w:val="MainText"/>
        <w:spacing w:before="120" w:after="0"/>
        <w:rPr>
          <w:lang w:val="el" w:eastAsia="el"/>
        </w:rPr>
      </w:pPr>
      <w:r>
        <w:rPr>
          <w:b/>
          <w:bCs/>
          <w:lang w:val="el" w:eastAsia="el"/>
        </w:rPr>
        <w:t>4.</w:t>
      </w:r>
      <w:r>
        <w:rPr>
          <w:lang w:val="el" w:eastAsia="el"/>
        </w:rPr>
        <w:t xml:space="preserve"> Τυχόν αδιάθετα υπόλοιπα από την πίστωση της παρ. 1 επιστρέφονται από τον Ο.Π.Ε.Κ.Ε.Π.Ε. στον κρατικό Π/Υ (ΑΛΕ Εσόδων 15090789001«Λοιπές Επιστροφές Ποσών»).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Πληρωμής-Έλεγχος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παρούσας είναι ο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 (ΕΕ) αριθ. 1408/2013 της Επιτροπής, όπως τροποποιήθηκε με τον Καν. (ΕΕ) αριθ. 316/2019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Υπ.Α.Α.Τ.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εν δυνάμει δικαιούχους για το ποσό της κρατικής ενίσχυσης που τους χορηγήθηκε, ηλεκτρονικά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το άρθρο 2 παρ. 2 του Καν. (ΕΕ) αριθ. 1408/2013, όπως τροποποιήθηκε με τον Καν.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το άρθρο 3 παρ. 2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στα άρθρα 5 και 6 παρ. 1 του Καν. (EE) αριθ. 1408/2013.</w:t>
      </w:r>
    </w:p>
    <w:p>
      <w:pPr>
        <w:pStyle w:val="StructureList1"/>
        <w:spacing w:before="120" w:after="0"/>
        <w:rPr>
          <w:lang w:val="el" w:eastAsia="el"/>
        </w:rPr>
      </w:pPr>
      <w:r>
        <w:rPr>
          <w:lang w:val="el" w:eastAsia="el"/>
        </w:rPr>
        <w:t>ε)</w:t>
      </w:r>
      <w:r>
        <w:rPr>
          <w:lang w:val="en" w:eastAsia="en"/>
        </w:rPr>
        <w:tab/>
      </w:r>
      <w:r>
        <w:rPr>
          <w:lang w:val="el" w:eastAsia="el"/>
        </w:rPr>
        <w:t>η διενέργεια των ανωτέρω διασταυρωτικών ελέγχων πραγματοποιείται και με βάση τα στοιχεία που δηλώνουν οι δικαιούχοι σε υπεύθυνη δήλωση που υποβάλλουν σχετικά με τις ενισχύσεις ήσσονος σημασίας που έχουν λάβει σε επίπεδο ενιαίας επιχείρησης βάσει του Καν. (ΕΕ) αριθ. 1408/2013 ή άλλων κανονισμών για ενισχύσεις ήσσονος σημασίας κατά τα δύο προηγούμενα οικονομικά έτη και κατά το τρέχον οικονομικό έτος [άρθρο 6 παρ. 1 του Καν. (ΕΕ) αριθ. 1408/2013, ως συνημμένο Παράρτημα ΥΔ De Minimis],</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τους ανωτέρω ελέγχους διαπιστωθεί μη τήρηση των όρων του Καν. (ΕΕ) αριθ. 1408/2013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Η Διεύθυνση Πληρωμών του Ο.Π.Ε.Κ.Ε.Π.Ε. προβαίνει: στην έκδοση εντολής πληρωμής και 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Σε περίπτωση εκ των υστέρων διαπίστωσης υπέρβασης του ανώτατου ορίου (παρ. 2, άρθρο 3 του Καν. (ΕΕ) αριθ. 1408/2013) συνεπεία υπέρβασης του ποσού η αρμόδια υπηρεσία φροντίζει για την ανάκτηση της χορηγηθείσας ενίσχυσης στο σύνολό της στο δικαιούχο,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59886/ΕΥΚΕ913/11.6.2020 (Β’ 2417) κοινής υπουργικής απόφασης και σύμφωνα με την διαδικασία που περιγράφεται στην υπ’ αρ. 121114/13.11.2020 (ΑΔΑ: 6Σ5Ρ46ΜΤΛΡ-2Σ2) εγκύκλιο, όπως κάθε φορά επικαιροποιείται.</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Απριλίου 2023</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818/142504 11.05.2023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818/142504 11.05.2023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818/142504 11.05.2023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818/142504 11.05.2023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818/142504 11.05.2023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818/142504 11.05.2023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818/142504 11.05.2023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818/142504 11.05.2023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818/142504 11.05.2023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818/142504 11.05.2023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818/142504 11.05.2023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818/142504 11.05.2023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