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ΔΙΑΚΥΒΕΡΝΗΣΗΣ</w:t>
      </w:r>
    </w:p>
    <w:p>
      <w:pPr>
        <w:pStyle w:val="Title"/>
        <w:spacing w:before="120" w:after="360"/>
        <w:rPr>
          <w:lang w:val="el" w:eastAsia="el"/>
        </w:rPr>
      </w:pPr>
      <w:r>
        <w:rPr>
          <w:lang w:val="el" w:eastAsia="el"/>
        </w:rPr>
        <w:t xml:space="preserve">1)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ΔΙΕΥΘΥΝΣΗ ΕΠΙΧΕΙΡΗΣΙΑΚΩΝ ΔΙΑΔΙΚΑΣΙΩΝ ΤΜΗΜΑ Α’</w:t>
      </w:r>
    </w:p>
    <w:p>
      <w:pPr>
        <w:spacing w:before="240" w:after="240"/>
        <w:rPr>
          <w:lang w:val="el" w:eastAsia="el"/>
        </w:rPr>
      </w:pPr>
      <w:r>
        <w:rPr>
          <w:b/>
          <w:bCs/>
          <w:lang w:val="el" w:eastAsia="el"/>
        </w:rPr>
        <w:t>Ταχ. Δ/νση : Πειραιώς 72 &amp; Πύργου Ταχ. Κώδικας : 18346 – Μοσχάτο</w:t>
      </w:r>
    </w:p>
    <w:p>
      <w:pPr>
        <w:spacing w:before="240" w:after="240"/>
        <w:rPr>
          <w:lang w:val="el" w:eastAsia="el"/>
        </w:rPr>
      </w:pPr>
      <w:r>
        <w:rPr>
          <w:b/>
          <w:bCs/>
          <w:lang w:val="el" w:eastAsia="el"/>
        </w:rPr>
        <w:t>Θέμα: Τροποποίηση της υπό στοιχεία Α. 1110/2022 απόφασης του Διοικητή της Ανεξάρτητης Αρχής Δημοσίων Εσόδων (ΑΑΔΕ) για την ηλεκτρονική υποβολή δήλωσης φόρου μεταβίβασης ακινήτων- «Δήλωση Φ.Μ.Α.» (Β’ 4334).</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α) Το άρθρο 14 του ν. 4652/2020 «Ρυθμίσεις για την αποχώρηση του Ηνωμένου Βασιλείου από την Ευρωπαϊκή Ένωση και άλλες διατάξεις» (Α’ 9), και ειδικότερα την παρ. 2 αυτού, β) τον ν. 4987/2022 «Κώδικας Φορολογικής Διαδικασίας και άλλες διατάξεις» (Α΄ 206), και ειδικότερα των άρθρων 4, 5, 6, 15 παρ. 3, 18, 19, 20, 30, 32, 34, 37, 53, 54 αυτού, γ) τον α.ν. 1521/1950 (Α’ 294) «περί φόρου μεταβιβάσεως ακινήτων» (Α’ 245), ο οποίος κυρώθηκε με το ν. 1587/1950 (Α’ 294) και ειδικότερα την παρ. 12 του άρθρου 7 αυτού,</w:t>
      </w:r>
    </w:p>
    <w:p>
      <w:pPr>
        <w:pStyle w:val="StructureList1"/>
        <w:spacing w:before="120" w:after="0"/>
        <w:rPr>
          <w:lang w:val="el" w:eastAsia="el"/>
        </w:rPr>
      </w:pPr>
      <w:r>
        <w:rPr>
          <w:lang w:val="el" w:eastAsia="el"/>
        </w:rPr>
        <w:t>δ)</w:t>
      </w:r>
      <w:r>
        <w:rPr>
          <w:lang w:val="en" w:eastAsia="en"/>
        </w:rPr>
        <w:tab/>
      </w:r>
      <w:r>
        <w:rPr>
          <w:b/>
          <w:bCs/>
          <w:lang w:val="el" w:eastAsia="el"/>
        </w:rPr>
        <w:t>το Κεφάλαιο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 άρθρο 7, την παρ. 1 του άρθρου 14 και το άρθρο 41 αυτού,</w:t>
      </w:r>
    </w:p>
    <w:p>
      <w:pPr>
        <w:pStyle w:val="StructureList1"/>
        <w:spacing w:before="120" w:after="0"/>
        <w:rPr>
          <w:lang w:val="el" w:eastAsia="el"/>
        </w:rPr>
      </w:pPr>
      <w:r>
        <w:rPr>
          <w:lang w:val="el" w:eastAsia="el"/>
        </w:rPr>
        <w:t>ε)</w:t>
      </w:r>
      <w:r>
        <w:rPr>
          <w:lang w:val="en" w:eastAsia="en"/>
        </w:rPr>
        <w:tab/>
      </w:r>
      <w:r>
        <w:rPr>
          <w:b/>
          <w:bCs/>
          <w:lang w:val="el" w:eastAsia="el"/>
        </w:rPr>
        <w:t>την υπό στοιχεία Δ. ΟΡΓ. Α 1125859 ΕΞ 2020/23-10-2020 απόφαση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Δ.ΟΡΓ. Α 1065199 ΕΞ 2022/20-7-2022 απόφαση του Διοικητή ΑΑΔΕ με θέμα «Μεταβίβαση αρμοδιοτήτων και εξουσιοδότηση υπογραφής «Με εντολή Διοικητή» σε όργανα της Φορολογικής Διοίκησης» (Β΄ 3886).</w:t>
      </w:r>
    </w:p>
    <w:p>
      <w:pPr>
        <w:spacing w:before="240" w:after="240"/>
        <w:rPr>
          <w:lang w:val="el" w:eastAsia="el"/>
        </w:rPr>
      </w:pPr>
      <w:r>
        <w:rPr>
          <w:lang w:val="el" w:eastAsia="el"/>
        </w:rPr>
        <w:t xml:space="preserve">3. </w:t>
      </w:r>
      <w:r>
        <w:rPr>
          <w:b/>
          <w:bCs/>
          <w:lang w:val="el" w:eastAsia="el"/>
        </w:rPr>
        <w:t>Την υπό στοιχεία Α. 1110/2022 απόφαση του Διοικητή της ΑΑΔΕ «Ηλεκτρονική υποβολή δήλωσης φόρου μεταβίβασης ακινήτων- “Δήλωση Φ.Μ.Α.”» (Β’ 4334).</w:t>
      </w:r>
    </w:p>
    <w:p>
      <w:pPr>
        <w:spacing w:before="240" w:after="240"/>
        <w:rPr>
          <w:lang w:val="el" w:eastAsia="el"/>
        </w:rPr>
      </w:pPr>
      <w:r>
        <w:rPr>
          <w:lang w:val="el" w:eastAsia="el"/>
        </w:rPr>
        <w:t xml:space="preserve">4.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υπ’ αρ. 39/3/30.11.2017 (Υ.Ο.Δ.Δ. 689) του Συμβουλίου Διοίκησης της ΑΑΔΕ και υπό στοιχεία 5294 ΕΞ 2020/17.1.2020 (Υ.Ο.Δ.Δ. 27) αποφάσεις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5. </w:t>
      </w:r>
      <w:r>
        <w:rPr>
          <w:b/>
          <w:bCs/>
          <w:lang w:val="el" w:eastAsia="el"/>
        </w:rPr>
        <w:t>Την ανάγκη καθορισμού του τρόπου και περιεχομένου της υποβολής δηλώσεων μεταβίβασης ακινήτου ή σύστασης εμπραγμάτου δικαιώματος σε αυτό με επαχθή αιτία, σε περίπτωση σύνταξης οριστικού συμβολαίου σε εκτέλεση προσυμφώνου, εφόσον το συμβόλαιο συντάσσεται μέσα σε δύο (2) χρόνια από την κατάρτιση του προσυμφώνου.</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spacing w:before="240" w:after="240"/>
        <w:rPr>
          <w:lang w:val="el" w:eastAsia="el"/>
        </w:rPr>
      </w:pPr>
      <w:r>
        <w:rPr>
          <w:lang w:val="el" w:eastAsia="el"/>
        </w:rPr>
        <w:t xml:space="preserve">1 </w:t>
      </w:r>
      <w:r>
        <w:rPr>
          <w:b/>
          <w:bCs/>
          <w:lang w:val="el" w:eastAsia="el"/>
        </w:rPr>
        <w:t>.Τροποποιούμε την παρ. 1 του άρθρου ΜΟΝΟΥ της υπό στοιχεία Α. 1110/2022 απόφασης του Διοικητή της ΑΑΔΕ «Ηλεκτρονική υποβολή δήλωσης φόρου μεταβίβασης ακινήτων- «Δήλωση Φ.Μ.Α.».» (Β’ 4334), με την προσθήκη στο τέλος της παραγράφου περ. στ), ως εξής:</w:t>
      </w:r>
    </w:p>
    <w:p>
      <w:pPr>
        <w:spacing w:before="240" w:after="240"/>
        <w:rPr>
          <w:lang w:val="el" w:eastAsia="el"/>
        </w:rPr>
      </w:pPr>
      <w:r>
        <w:rPr>
          <w:b/>
          <w:bCs/>
          <w:lang w:val="el" w:eastAsia="el"/>
        </w:rPr>
        <w:t>«στ) Τη σύνταξη οριστικού συμβολαίου μεταβίβασης ακινήτου ή σύστασης εμπραγμάτου δικαιώματος σε αυτό με επαχθή αιτία, σε εκτέλεση προσυμφώνου, εφόσον το συμβόλαιο συντάσσεται μέσα σε δύο (2) χρόνια από την κατάρτιση του προσυμφώνου.</w:t>
      </w:r>
    </w:p>
    <w:p>
      <w:pPr>
        <w:spacing w:before="240" w:after="240"/>
        <w:rPr>
          <w:lang w:val="el" w:eastAsia="el"/>
        </w:rPr>
      </w:pPr>
      <w:r>
        <w:rPr>
          <w:b/>
          <w:bCs/>
          <w:lang w:val="el" w:eastAsia="el"/>
        </w:rPr>
        <w:t>Στην περίπτωση αυτή, αναρτάται στην εφαρμογή myPROPERTY υποχρεωτικά το συμβολαιογραφικό προσύμφωνο».</w:t>
      </w:r>
    </w:p>
    <w:p>
      <w:pPr>
        <w:spacing w:before="240" w:after="240"/>
        <w:rPr>
          <w:lang w:val="el" w:eastAsia="el"/>
        </w:rPr>
      </w:pPr>
      <w:r>
        <w:rPr>
          <w:lang w:val="el" w:eastAsia="el"/>
        </w:rPr>
        <w:t xml:space="preserve">2 </w:t>
      </w:r>
      <w:r>
        <w:rPr>
          <w:b/>
          <w:bCs/>
          <w:lang w:val="el" w:eastAsia="el"/>
        </w:rPr>
        <w:t>.Η παρούσα ισχύει από την επόμενη εργάσιμη ημέρα της δημοσίευσής της στην Εφημερίδα της Κυβερνήσεως.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 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 κ. Βεσυρόπουλου</w:t>
      </w:r>
    </w:p>
    <w:p>
      <w:pPr>
        <w:spacing w:before="240" w:after="240"/>
        <w:rPr>
          <w:lang w:val="el" w:eastAsia="el"/>
        </w:rPr>
      </w:pPr>
      <w:r>
        <w:rPr>
          <w:lang w:val="el" w:eastAsia="el"/>
        </w:rPr>
        <w:t xml:space="preserve">3 </w:t>
      </w:r>
      <w:r>
        <w:rPr>
          <w:b/>
          <w:bCs/>
          <w:lang w:val="el" w:eastAsia="el"/>
        </w:rPr>
        <w:t>. Αποδέκτες Πίνακα Α (πλην των αποδεκτών προς ενέργεια)</w:t>
      </w:r>
    </w:p>
    <w:p>
      <w:pPr>
        <w:spacing w:before="240" w:after="240"/>
        <w:rPr>
          <w:lang w:val="el" w:eastAsia="el"/>
        </w:rPr>
      </w:pPr>
      <w:r>
        <w:rPr>
          <w:lang w:val="el" w:eastAsia="el"/>
        </w:rPr>
        <w:t xml:space="preserve">4 </w:t>
      </w:r>
      <w:r>
        <w:rPr>
          <w:b/>
          <w:bCs/>
          <w:lang w:val="el" w:eastAsia="el"/>
        </w:rPr>
        <w:t>.Αποδέκτες πίνακα Β, Δ, Ε, ΣΤ, Ζ, Η</w:t>
      </w:r>
    </w:p>
    <w:p>
      <w:pPr>
        <w:spacing w:before="240" w:after="240"/>
        <w:rPr>
          <w:lang w:val="el" w:eastAsia="el"/>
        </w:rPr>
      </w:pPr>
      <w:r>
        <w:rPr>
          <w:lang w:val="el" w:eastAsia="el"/>
        </w:rPr>
        <w:t xml:space="preserve">5 </w:t>
      </w:r>
      <w:r>
        <w:rPr>
          <w:b/>
          <w:bCs/>
          <w:lang w:val="el" w:eastAsia="el"/>
        </w:rPr>
        <w:t>.Αποδέκτες πίνακα Θ (εκτός από το Εθνικό Τυπογραφείο και με την παράκληση το Υπουργείο Δικαιοσύνης να ενημερώσει όλους τους Δικηγορικούς Συλλόγους)</w:t>
      </w:r>
    </w:p>
    <w:p>
      <w:pPr>
        <w:spacing w:before="240" w:after="240"/>
        <w:rPr>
          <w:lang w:val="el" w:eastAsia="el"/>
        </w:rPr>
      </w:pPr>
      <w:r>
        <w:rPr>
          <w:lang w:val="el" w:eastAsia="el"/>
        </w:rPr>
        <w:t xml:space="preserve">6 </w:t>
      </w:r>
      <w:r>
        <w:rPr>
          <w:b/>
          <w:bCs/>
          <w:lang w:val="el" w:eastAsia="el"/>
        </w:rPr>
        <w:t>.Αποδέκτες πίνακα Ι, ΙΑ, ΙΒ, ΙΔ, ΙΕ, ΙΣΤ</w:t>
      </w:r>
    </w:p>
    <w:p>
      <w:pPr>
        <w:spacing w:before="240" w:after="240"/>
        <w:rPr>
          <w:lang w:val="el" w:eastAsia="el"/>
        </w:rPr>
      </w:pPr>
      <w:r>
        <w:rPr>
          <w:lang w:val="el" w:eastAsia="el"/>
        </w:rPr>
        <w:t xml:space="preserve">7 </w:t>
      </w:r>
      <w:r>
        <w:rPr>
          <w:b/>
          <w:bCs/>
          <w:lang w:val="el" w:eastAsia="el"/>
        </w:rPr>
        <w:t>.Αυτοτελές Γραφείο Τύπου και Δημοσίων Σχέσεων</w:t>
      </w:r>
    </w:p>
    <w:p>
      <w:pPr>
        <w:spacing w:before="240" w:after="240"/>
        <w:rPr>
          <w:lang w:val="el" w:eastAsia="el"/>
        </w:rPr>
      </w:pPr>
      <w:r>
        <w:rPr>
          <w:lang w:val="el" w:eastAsia="el"/>
        </w:rPr>
        <w:t xml:space="preserve">8 </w:t>
      </w:r>
      <w:r>
        <w:rPr>
          <w:b/>
          <w:bCs/>
          <w:lang w:val="el" w:eastAsia="el"/>
        </w:rPr>
        <w:t>.Γενική Γραμματεία Δημοσιονομικής Πολιτικής</w:t>
      </w:r>
    </w:p>
    <w:p>
      <w:pPr>
        <w:spacing w:before="240" w:after="240"/>
        <w:rPr>
          <w:lang w:val="el" w:eastAsia="el"/>
        </w:rPr>
      </w:pPr>
      <w:r>
        <w:rPr>
          <w:lang w:val="el" w:eastAsia="el"/>
        </w:rPr>
        <w:t xml:space="preserve">9 </w:t>
      </w:r>
      <w:r>
        <w:rPr>
          <w:b/>
          <w:bCs/>
          <w:lang w:val="el" w:eastAsia="el"/>
        </w:rPr>
        <w:t>.Γενική Γραμματεία Οικονομικής Πολιτικής</w:t>
      </w:r>
    </w:p>
    <w:p>
      <w:pPr>
        <w:spacing w:before="240" w:after="240"/>
        <w:rPr>
          <w:lang w:val="el" w:eastAsia="el"/>
        </w:rPr>
      </w:pPr>
      <w:r>
        <w:rPr>
          <w:lang w:val="el" w:eastAsia="el"/>
        </w:rPr>
        <w:t xml:space="preserve">10 </w:t>
      </w:r>
      <w:r>
        <w:rPr>
          <w:b/>
          <w:bCs/>
          <w:lang w:val="el" w:eastAsia="el"/>
        </w:rPr>
        <w:t>. Γραφείο Γενικού Γραμματέα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Προϊσταμένων Γενικών Διευθύνσεων</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Εφαρμογής Φορολογίας Κεφαλαίου &amp; Περιουσιολογίου</w:t>
      </w:r>
    </w:p>
    <w:p>
      <w:pPr>
        <w:spacing w:before="240" w:after="240"/>
        <w:rPr>
          <w:lang w:val="el" w:eastAsia="el"/>
        </w:rPr>
      </w:pPr>
      <w:r>
        <w:rPr>
          <w:lang w:val="el" w:eastAsia="el"/>
        </w:rPr>
        <w:t xml:space="preserve">5. </w:t>
      </w:r>
      <w:r>
        <w:rPr>
          <w:b/>
          <w:bCs/>
          <w:lang w:val="el" w:eastAsia="el"/>
        </w:rPr>
        <w:t>Διεύθυνση Επιχειρησιακών Διαδικασιών</w:t>
      </w:r>
    </w:p>
    <w:p>
      <w:pPr>
        <w:spacing w:before="240" w:after="240"/>
        <w:rPr>
          <w:lang w:val="el" w:eastAsia="el"/>
        </w:rPr>
      </w:pPr>
      <w:r>
        <w:rPr>
          <w:lang w:val="el" w:eastAsia="el"/>
        </w:rPr>
        <w:t xml:space="preserve">6.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