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Δ30/A3/143433</w:t>
      </w:r>
    </w:p>
    <w:p>
      <w:pPr>
        <w:pStyle w:val="PreambelText"/>
        <w:spacing w:before="240" w:after="240"/>
        <w:rPr>
          <w:lang w:val="el" w:eastAsia="el"/>
        </w:rPr>
      </w:pPr>
      <w:r>
        <w:rPr>
          <w:b/>
          <w:bCs/>
          <w:lang w:val="el" w:eastAsia="el"/>
        </w:rPr>
        <w:t>Τροποποίηση διατάξεων των υπό στοιχεία Δ30/ A3/276110/8.10.2021 «Καθορισμός διαδικασίας, περιεχομένου και δικαιολογητικών, παραβόλου και κυρώσεων για τη γνωστοποίηση λειτουργίας σχολών οδηγών αυτοκινήτων και μοτοσικλετών, υποκαταστημάτων αυτών και Κέντρων Θεωρητικής Εκπαίδευσης Υποψήφιων Οδηγών (ΚΕ.Θ.Ε.Υ.Ο.)» (Β’ 4742) και Δ30/Α3/314952/ 9.11.2021 «Καθορισμός διαδικασίας, περιεχομένου και δικαιολογητικών, παραβόλου και κυρώσεων για τη χορήγηση έγκρισης λειτουργίας σχολών/κέντρων επαγγελματικής κατάρτισης για τη χορήγηση πιστοποιητικού επαγγελματικής ικανότητας σε οδηγούς οχημάτων μεταφοράς επιβατών και εμπορευμάτων» (Β’ 5275) κοινών υπουργικών αποφάσεων.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 ΠΕΡΙΒΑΛΛΟΝΤΟΣ ΚΑΙ ΕΝΕΡΓΕΙΑΣ - ΨΗΦΙΑΚΗΣ ΔΙΑΚΥΒΕΡΝΗΣΗΣ - ΥΠΟΔΟΜΩΝ ΚΑΙ ΜΕΤΑΦΟΡΩΝ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4442/2016 «Νέο θεσμικό πλαίσιο για την άσκηση οικονομικής δραστηριότητας και άλλες διατάξεις» (Α’ 230), όπως τροποποιήθηκε με τα άρθρα 4 και 5 του ν. 4811/2021 (Α’ 108), με τα οποία προστέθηκαν στον ν. 4442/2016 αντίστοιχα: Κεφάλαιο ΛΑ’ περί απλούστευσης πλαισίου ίδρυσης και λειτουργίας σχολών οδηγών αυτοκινήτων και μοτοσικλετών και Κέντρων Θεωρητικής Εκπαίδευσης Υποψήφιων Οδηγών και Κεφάλαιο ΛΒ’ περί απλούστευσης πλαισίου λειτουργίας σχολών/κέντρων επαγγελματικής κατάρτισης για τη χορήγηση Πιστοποιητικού Επαγγελματικής Ικανότητας σε οδηγούς οχημάτων μεταφοράς επιβατών και εμπορευμάτων, και ιδίως της παρ. 1 του άρθρου 221 και της παρ. 1 του άρθρου 230, β) του ν. 4622/2019 «Επιτελικό Κράτος: οργάνωση, λειτουργία και διαφάνεια της Κυβέρνησης, των κυβερνητικών οργάνων και της κεντρικής δημόσιας διοίκησης» (Α’ 133), γ)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του Κεφαλαίου Στ’ του Μέρους Α’ αυτού,</w:t>
      </w:r>
    </w:p>
    <w:p>
      <w:pPr>
        <w:pStyle w:val="StructureList1"/>
        <w:spacing w:before="120" w:after="0"/>
        <w:rPr>
          <w:lang w:val="el" w:eastAsia="el"/>
        </w:rPr>
      </w:pPr>
      <w:r>
        <w:rPr>
          <w:lang w:val="el" w:eastAsia="el"/>
        </w:rPr>
        <w:t>δ)</w:t>
      </w:r>
      <w:r>
        <w:rPr>
          <w:lang w:val="en" w:eastAsia="en"/>
        </w:rPr>
        <w:tab/>
      </w:r>
      <w:r>
        <w:rPr>
          <w:lang w:val="el" w:eastAsia="el"/>
        </w:rPr>
        <w:t>των άρθρων 6, 7, 9 και 14 του ν. 3844/2010 «Προσαρμογή της ελληνικής νομοθεσίας στην Οδηγία 2006/123 του Ευρωπαϊκού Κοινοβουλίου και του Συμβουλίου σχετικά με τις υπηρεσίες στην εσωτερική αγορά και άλλες διατάξεις» (Α’ 63),</w:t>
      </w:r>
    </w:p>
    <w:p>
      <w:pPr>
        <w:pStyle w:val="StructureList1"/>
        <w:spacing w:before="120" w:after="0"/>
        <w:rPr>
          <w:lang w:val="el" w:eastAsia="el"/>
        </w:rPr>
      </w:pPr>
      <w:r>
        <w:rPr>
          <w:lang w:val="el" w:eastAsia="el"/>
        </w:rPr>
        <w:t>ε)</w:t>
      </w:r>
      <w:r>
        <w:rPr>
          <w:lang w:val="en" w:eastAsia="en"/>
        </w:rPr>
        <w:tab/>
      </w:r>
      <w:r>
        <w:rPr>
          <w:lang w:val="el" w:eastAsia="el"/>
        </w:rPr>
        <w:t>του άρθρου 5 του ν. 3469/2006 «Εθνικό Τυπογραφείο, Εφημερίς της Κυβέρνησης και λοιπές διατάξεις» (Α’ 131),</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τoυ π.δ. 208/2002 «Εκπαιδευτές Υποψηφίων Οδηγών, Σχολές Οδηγών, Κέντρα Θεωρητικής Εκπαίδευσης Υποψηφίων Οδηγών και ρυθμίσεις συναφών θεμάτων» (Α’ 194),</w:t>
      </w:r>
    </w:p>
    <w:p>
      <w:pPr>
        <w:pStyle w:val="StructureList1"/>
        <w:spacing w:before="120" w:after="0"/>
        <w:rPr>
          <w:lang w:val="el" w:eastAsia="el"/>
        </w:rPr>
      </w:pPr>
      <w:r>
        <w:rPr>
          <w:lang w:val="el" w:eastAsia="el"/>
        </w:rPr>
        <w:t>η)</w:t>
      </w:r>
      <w:r>
        <w:rPr>
          <w:lang w:val="en" w:eastAsia="en"/>
        </w:rPr>
        <w:tab/>
      </w:r>
      <w:r>
        <w:rPr>
          <w:lang w:val="el" w:eastAsia="el"/>
        </w:rPr>
        <w:t>του π.δ. 74/2008 «Προσαρμογή της ελληνικής νομοθεσίας προς την οδηγία 2003/59/ΕΚ του Ευρωπαϊκού Κοινοβουλίου και του Συμβουλίου, της 15ης Ιουλίου 2003,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 για την τροποποίηση του κανονισμού (ΕΟΚ) αριθμ. 3820/1985 του Συμβουλίου και της οδηγίας 91/439/ΕΟΚ του Συμβουλίου και για την κατάργηση της οδηγίας 76/914/ΕΟΚ του Συμβουλίου», όπως η οδηγία αυτή τροποποιήθηκε με τις οδηγίες 2004/66/ΕΚ του Συμβουλίου της 26ης Απριλίου 2004 και 2006/103/ΕΚ της 20ης Νοεμβρίου 2006» (Α’ 112),</w:t>
      </w:r>
    </w:p>
    <w:p>
      <w:pPr>
        <w:pStyle w:val="StructureList1"/>
        <w:spacing w:before="120" w:after="0"/>
        <w:rPr>
          <w:lang w:val="el" w:eastAsia="el"/>
        </w:rPr>
      </w:pPr>
      <w:r>
        <w:rPr>
          <w:lang w:val="el" w:eastAsia="el"/>
        </w:rPr>
        <w:t>θ)</w:t>
      </w:r>
      <w:r>
        <w:rPr>
          <w:lang w:val="en" w:eastAsia="en"/>
        </w:rPr>
        <w:tab/>
      </w:r>
      <w:r>
        <w:rPr>
          <w:lang w:val="el" w:eastAsia="el"/>
        </w:rPr>
        <w:t>της υπό στοιχεία Δ30/A3/276110/8-10-2021 κοινής απόφασης των Υπουργών Οικονομικών, Ανάπτυξης και Επενδύσεων, Περιβάλλοντος και Ενέργειας, Ψηφιακής Διακυβέρνησης, Υποδομών και Μεταφορών και Επικρατείας «Καθορισμός διαδικασίας, περιεχομένου και δικαιολογητικών, παραβόλου και κυρώσεων για τη γνωστοποίηση λειτουργίας σχολών οδηγών αυτοκινήτων και μοτοσικλετών, υποκαταστημάτων αυτών και Κέντρων Θεωρητικής Εκπαίδευσης Υποψήφιων Οδηγών (ΚΕ.Θ.Ε.Υ.Ο.)» (Β’ 4742),</w:t>
      </w:r>
    </w:p>
    <w:p>
      <w:pPr>
        <w:pStyle w:val="StructureList1"/>
        <w:spacing w:before="120" w:after="0"/>
        <w:rPr>
          <w:lang w:val="el" w:eastAsia="el"/>
        </w:rPr>
      </w:pPr>
      <w:r>
        <w:rPr>
          <w:lang w:val="el" w:eastAsia="el"/>
        </w:rPr>
        <w:t>ι)</w:t>
      </w:r>
      <w:r>
        <w:rPr>
          <w:lang w:val="en" w:eastAsia="en"/>
        </w:rPr>
        <w:tab/>
      </w:r>
      <w:r>
        <w:rPr>
          <w:lang w:val="el" w:eastAsia="el"/>
        </w:rPr>
        <w:t>της υπό στοιχεία Δ30/Α3/314952/9-11-2021 κοινής απόφασης των Υπουργών Οικονομικών, Ανάπτυξης και Επενδύσεων, Περιβάλλοντος και Ενέργειας, ΨηφιακήςΔιακυβέρνησης, Υποδομών και Μεταφορών και Επικρατείας «Καθορισμός διαδικασίας, περιεχομένου και δικαιολογητικών, παραβόλου και κυρώσεων για τη χορήγηση έγκρισης λειτουργίας σχολών/κέντρων επαγγελματικής κατάρτισης για τη χορήγηση πιστοποιητικού επαγγελματικής ικανότητας σε οδηγούς οχημάτων μεταφοράς επιβατών και εμπορευμάτων» (Β’ 5275),</w:t>
      </w:r>
    </w:p>
    <w:p>
      <w:pPr>
        <w:pStyle w:val="StructureList1"/>
        <w:spacing w:before="120" w:after="0"/>
        <w:rPr>
          <w:lang w:val="el" w:eastAsia="el"/>
        </w:rPr>
      </w:pPr>
      <w:r>
        <w:rPr>
          <w:lang w:val="el" w:eastAsia="el"/>
        </w:rPr>
        <w:t>ια)</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ιβ)</w:t>
      </w:r>
      <w:r>
        <w:rPr>
          <w:lang w:val="en" w:eastAsia="en"/>
        </w:rPr>
        <w:tab/>
      </w:r>
      <w:r>
        <w:rPr>
          <w:lang w:val="el" w:eastAsia="el"/>
        </w:rPr>
        <w:t>του π.δ. 5/2022 «Οργανισμός Υπουργείου Ανάπτυξης και Επενδύσεων» (Α’ 15),</w:t>
      </w:r>
    </w:p>
    <w:p>
      <w:pPr>
        <w:pStyle w:val="StructureList1"/>
        <w:spacing w:before="120" w:after="0"/>
        <w:rPr>
          <w:lang w:val="el" w:eastAsia="el"/>
        </w:rPr>
      </w:pPr>
      <w:r>
        <w:rPr>
          <w:lang w:val="el" w:eastAsia="el"/>
        </w:rPr>
        <w:t>ιγ)</w:t>
      </w:r>
      <w:r>
        <w:rPr>
          <w:lang w:val="en" w:eastAsia="en"/>
        </w:rPr>
        <w:tab/>
      </w:r>
      <w:r>
        <w:rPr>
          <w:lang w:val="el" w:eastAsia="el"/>
        </w:rPr>
        <w:t>του π.δ. 132/2017 «Οργανισμός Υπουργείου Περιβάλλοντος και Ενέργειας (Υ.Π.Ε.Ν.)» (Α’ 160),</w:t>
      </w:r>
    </w:p>
    <w:p>
      <w:pPr>
        <w:pStyle w:val="StructureList1"/>
        <w:spacing w:before="120" w:after="0"/>
        <w:rPr>
          <w:lang w:val="el" w:eastAsia="el"/>
        </w:rPr>
      </w:pPr>
      <w:r>
        <w:rPr>
          <w:lang w:val="el" w:eastAsia="el"/>
        </w:rPr>
        <w:t>ιδ)</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ιε)</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ιστ)</w:t>
      </w:r>
      <w:r>
        <w:rPr>
          <w:lang w:val="en" w:eastAsia="en"/>
        </w:rPr>
        <w:tab/>
      </w:r>
      <w:r>
        <w:rPr>
          <w:lang w:val="el" w:eastAsia="el"/>
        </w:rPr>
        <w:t>του άρθρου 4 του π.δ. 123/2016 «Ανασύσταση και μετονομασία του Υπουργείου Διοικητικής Μεταρρύθμισης και Ηλεκτρονικής Διακυβέρνησης, ανασύστασης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StructureList1"/>
        <w:spacing w:before="120" w:after="0"/>
        <w:rPr>
          <w:lang w:val="el" w:eastAsia="el"/>
        </w:rPr>
      </w:pPr>
      <w:r>
        <w:rPr>
          <w:lang w:val="el" w:eastAsia="el"/>
        </w:rPr>
        <w:t>ιζ)</w:t>
      </w:r>
      <w:r>
        <w:rPr>
          <w:lang w:val="en" w:eastAsia="en"/>
        </w:rPr>
        <w:tab/>
      </w:r>
      <w:r>
        <w:rPr>
          <w:lang w:val="el" w:eastAsia="el"/>
        </w:rPr>
        <w:t>του π.δ. 83/2019 «Διορισμός Αντιπροέδρου της Κυβέρνησης, Υπουργών, Αναπληρωτή Υπουργού και Υφυπουργών» (Α’ 121),</w:t>
      </w:r>
    </w:p>
    <w:p>
      <w:pPr>
        <w:pStyle w:val="StructureList1"/>
        <w:spacing w:before="120" w:after="0"/>
        <w:rPr>
          <w:lang w:val="el" w:eastAsia="el"/>
        </w:rPr>
      </w:pPr>
      <w:r>
        <w:rPr>
          <w:lang w:val="el" w:eastAsia="el"/>
        </w:rPr>
        <w:t>ιη)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ιθ)</w:t>
      </w:r>
      <w:r>
        <w:rPr>
          <w:lang w:val="en" w:eastAsia="en"/>
        </w:rPr>
        <w:tab/>
      </w:r>
      <w:r>
        <w:rPr>
          <w:lang w:val="el" w:eastAsia="el"/>
        </w:rPr>
        <w:t>του π.δ. 56/2021 «Διορισμός Υπουργού και Υφυπουργών» (Α’ 142),</w:t>
      </w:r>
    </w:p>
    <w:p>
      <w:pPr>
        <w:pStyle w:val="StructureList1"/>
        <w:spacing w:before="120" w:after="0"/>
        <w:rPr>
          <w:lang w:val="el" w:eastAsia="el"/>
        </w:rPr>
      </w:pPr>
      <w:r>
        <w:rPr>
          <w:lang w:val="el" w:eastAsia="el"/>
        </w:rPr>
        <w:t>κ)</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κα)</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κβ)</w:t>
      </w:r>
      <w:r>
        <w:rPr>
          <w:lang w:val="en" w:eastAsia="en"/>
        </w:rPr>
        <w:tab/>
      </w:r>
      <w:r>
        <w:rPr>
          <w:lang w:val="el" w:eastAsia="el"/>
        </w:rPr>
        <w:t>της υπ’ αρ. 2/7.1.2021 κοινής απόφασης του Πρωθυπουργού και του Υπουργού Περιβάλλοντος και Ενέργειας «Ανάθεση αρμοδιοτήτων στον Υφυπουργό Περιβάλλοντος και Ενέργειας, Νικόλαο Ταγαρά» (Β’ 45),</w:t>
      </w:r>
    </w:p>
    <w:p>
      <w:pPr>
        <w:pStyle w:val="StructureList1"/>
        <w:spacing w:before="120" w:after="0"/>
        <w:rPr>
          <w:lang w:val="el" w:eastAsia="el"/>
        </w:rPr>
      </w:pPr>
      <w:r>
        <w:rPr>
          <w:lang w:val="el" w:eastAsia="el"/>
        </w:rPr>
        <w:t>κγ)</w:t>
      </w:r>
      <w:r>
        <w:rPr>
          <w:lang w:val="en" w:eastAsia="en"/>
        </w:rPr>
        <w:tab/>
      </w:r>
      <w:r>
        <w:rPr>
          <w:lang w:val="el" w:eastAsia="el"/>
        </w:rPr>
        <w:t>της υπ’ αρ. 102555/3.4.2023 κοινής απόφασης του Πρωθυπουργού και του Υπουργού Επικρατείας «Ανάθεση αρμοδιοτήτων στον Υφυπουργό Υποδομών και Μεταφορών, Μιχαήλ Παπαδόπουλο» (Β’ 2133) και</w:t>
      </w:r>
    </w:p>
    <w:p>
      <w:pPr>
        <w:pStyle w:val="StructureList1"/>
        <w:spacing w:before="120" w:after="0"/>
        <w:rPr>
          <w:lang w:val="el" w:eastAsia="el"/>
        </w:rPr>
      </w:pPr>
      <w:r>
        <w:rPr>
          <w:lang w:val="el" w:eastAsia="el"/>
        </w:rPr>
        <w:t>κδ)</w:t>
      </w:r>
      <w:r>
        <w:rPr>
          <w:lang w:val="en" w:eastAsia="en"/>
        </w:rPr>
        <w:tab/>
      </w:r>
      <w:r>
        <w:rPr>
          <w:lang w:val="el" w:eastAsia="el"/>
        </w:rPr>
        <w:t>της υπ’ αρ. 1786/15-2-2022 κοινής απόφασης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2. Την ανάγκη μερικής τροποποίησης του άρθρου 4 της υπό στοιχεία Δ30/A3/276110/8.10.2021 κοινής απόφασης των Υπουργών Οικονομικών, Ανάπτυξης και Επενδύσεων, Περιβάλλοντος και Ενέργειας, Ψηφιακής Διακυβέρνησης, Υποδομών και Μεταφορών και Επικρατείας «Καθορισμός διαδικασίας, περιεχομένου και δικαιολογητικών, παραβόλου και κυρώσεων για τη γνωστοποίηση λειτουργίας σχολών οδηγών αυτοκινήτων και μοτοσικλετών, υποκαταστημάτων αυτών και Κέντρων Θεωρητικής Εκπαίδευσης Υποψήφιων Οδηγών (ΚΕ.Θ.Ε.Υ.Ο.)» (Β’ 4742), καθώς και του άρθρου 4 της υπό στοιχεία Δ30/Α3/314952/9.11.2021 κοινής απόφασης των Υπουργών Οικονομικών, Ανάπτυξης και Επενδύσεων, Περιβάλλοντος και Ενέργειας, Ψηφιακής Διακυβέρνησης, Υποδομών και Μεταφορών και Επικρατείας «Καθορισμός διαδικασίας, περιεχομένου και δικαιολογητικών, παραβόλου και κυρώσεων για τη χορήγηση έγκρισης λειτουργίας σχολών/κέντρων επαγγελματικής κατάρτισης για τη χορήγηση πιστοποιητικού επαγγελματικής ικανότητας σε οδηγούς οχημάτων μεταφοράς επιβατών και εμπορευμάτων» (Β’ 5275).</w:t>
      </w:r>
    </w:p>
    <w:p>
      <w:pPr>
        <w:pStyle w:val="PreambelText"/>
        <w:spacing w:before="240" w:after="240"/>
        <w:rPr>
          <w:lang w:val="el" w:eastAsia="el"/>
        </w:rPr>
      </w:pPr>
      <w:r>
        <w:rPr>
          <w:lang w:val="el" w:eastAsia="el"/>
        </w:rPr>
        <w:t>3. Την υπ’ αρ. 57638/21-2-2023 Εισηγητική Έκθεση Δημοσιονομικών Επιπτώσεων, του Προϊσταμένου της Γενικής Διεύθυνσης Οικονομικών Υπηρεσιών του Υπουργείου Υποδομών και Μεταφορών, της περ. ε της παρ. 5 του άρθρου 24 του ν. 4270/2014 (Α’ 143), σύμφωνα με την οποία από τις διατάξεις της παρούσας ουδεμία δαπάνη προκαλείται στον κρατικό προϋπολογισμό,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της υπό στοιχεία Δ30/A3/276110/ 8.10.2021 (Β’ 4742) κοινής υπουργικής απόφασης</w:t>
      </w:r>
    </w:p>
    <w:p>
      <w:pPr>
        <w:pStyle w:val="MainText"/>
        <w:spacing w:before="120" w:after="0"/>
        <w:rPr>
          <w:lang w:val="el" w:eastAsia="el"/>
        </w:rPr>
      </w:pPr>
      <w:r>
        <w:rPr>
          <w:b/>
          <w:bCs/>
          <w:lang w:val="el" w:eastAsia="el"/>
        </w:rPr>
        <w:t>1.</w:t>
      </w:r>
      <w:r>
        <w:rPr>
          <w:lang w:val="el" w:eastAsia="el"/>
        </w:rPr>
        <w:t xml:space="preserve"> Στο άρθρο 4, καταργείται η παρ. 3 του Κεφαλαίου Β: «3. Το WC πρέπει να είναι άμεσα προσβάσιμο από τον χώρο υποδοχής.».</w:t>
      </w:r>
    </w:p>
    <w:p>
      <w:pPr>
        <w:pStyle w:val="MainText"/>
        <w:spacing w:before="120" w:after="0"/>
        <w:rPr>
          <w:lang w:val="el" w:eastAsia="el"/>
        </w:rPr>
      </w:pPr>
      <w:r>
        <w:rPr>
          <w:b/>
          <w:bCs/>
          <w:lang w:val="el" w:eastAsia="el"/>
        </w:rPr>
        <w:t>2.</w:t>
      </w:r>
      <w:r>
        <w:rPr>
          <w:lang w:val="el" w:eastAsia="el"/>
        </w:rPr>
        <w:t xml:space="preserve"> Στο άρθρο 4, καταργείται το τελευταίο εδάφιο του Κεφαλαίου Γ: «Η χρήση των βοηθητικών χώρων δεν πρέπει να διαταράσσει τη χρήση των αιθουσών διδασκαλίας».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Τροποποίηση της υπό στοιχεία Δ30/Α3/314952/ 9.11.2021 (Β’ 5275) κοινής υπουργικής απόφασης</w:t>
      </w:r>
    </w:p>
    <w:p>
      <w:pPr>
        <w:pStyle w:val="MainText"/>
        <w:spacing w:before="120" w:after="0"/>
        <w:rPr>
          <w:lang w:val="el" w:eastAsia="el"/>
        </w:rPr>
      </w:pPr>
      <w:r>
        <w:rPr>
          <w:b/>
          <w:bCs/>
          <w:lang w:val="el" w:eastAsia="el"/>
        </w:rPr>
        <w:t>1.</w:t>
      </w:r>
      <w:r>
        <w:rPr>
          <w:lang w:val="el" w:eastAsia="el"/>
        </w:rPr>
        <w:t xml:space="preserve"> Στο άρθρο 4, καταργείται η παρ. 5: «5. Το WC πρέπει να είναι άμεσα προσβάσιμο από τον χώρο υποδοχής.</w:t>
      </w:r>
    </w:p>
    <w:p>
      <w:pPr>
        <w:pStyle w:val="MainText"/>
        <w:spacing w:before="120" w:after="0"/>
        <w:rPr>
          <w:lang w:val="el" w:eastAsia="el"/>
        </w:rPr>
      </w:pPr>
      <w:r>
        <w:rPr>
          <w:b/>
          <w:bCs/>
          <w:lang w:val="el" w:eastAsia="el"/>
        </w:rPr>
        <w:t>2.</w:t>
      </w:r>
      <w:r>
        <w:rPr>
          <w:lang w:val="el" w:eastAsia="el"/>
        </w:rPr>
        <w:t xml:space="preserve"> Στο άρθρο 4, καταργείται το τελευταίο εδάφιο της παρ. 16: «Η χρήση των βοηθητικών χώρων δεν πρέπει να διαταράσσει τη χρήση των αιθουσών διδασκαλίας».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ΣΠΥΡΙΔΩΝ - ΑΔΩΝΙΣ</w:t>
      </w:r>
    </w:p>
    <w:p>
      <w:pPr>
        <w:spacing w:before="240" w:after="240"/>
        <w:rPr>
          <w:lang w:val="el" w:eastAsia="el"/>
        </w:rPr>
      </w:pPr>
      <w:r>
        <w:rPr>
          <w:lang w:val="el" w:eastAsia="el"/>
        </w:rPr>
        <w:t>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Υφυπουργός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ΝΙΚΟΛΑΟΣ</w:t>
      </w:r>
    </w:p>
    <w:p>
      <w:pPr>
        <w:spacing w:before="240" w:after="240"/>
        <w:rPr>
          <w:lang w:val="el" w:eastAsia="el"/>
        </w:rPr>
      </w:pPr>
      <w:r>
        <w:rPr>
          <w:b/>
          <w:bCs/>
          <w:lang w:val="el" w:eastAsia="el"/>
        </w:rPr>
        <w:t>ΤΑΓΑΡΑΣ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ΜΙΧΑΗΛ ΠΑΠΑΔΟΠΟΥΛΟΣ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