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50298/17.5.2023</w:t>
      </w:r>
    </w:p>
    <w:p>
      <w:pPr>
        <w:pStyle w:val="Title"/>
        <w:spacing w:before="120" w:after="360"/>
        <w:rPr>
          <w:lang w:val="el" w:eastAsia="el"/>
        </w:rPr>
      </w:pPr>
      <w:r>
        <w:rPr>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Επιχειρησιακού Προγράμματος (Ε.Π.) "Δυτική Ελλάδα", της Προγραμματικής Περιόδου 2021-2027</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50298/2023</w:t>
      </w:r>
    </w:p>
    <w:p>
      <w:pPr>
        <w:pStyle w:val="PreambelText"/>
        <w:spacing w:before="240" w:after="240"/>
        <w:rPr>
          <w:lang w:val="el" w:eastAsia="el"/>
        </w:rPr>
      </w:pPr>
      <w:r>
        <w:rPr>
          <w:lang w:val="el" w:eastAsia="el"/>
        </w:rPr>
        <w:t>(ΦΕΚ Β' 3398/19-05-2023)</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w:t>
      </w:r>
    </w:p>
    <w:p>
      <w:pPr>
        <w:pStyle w:val="PreambelText"/>
        <w:spacing w:before="240" w:after="240"/>
        <w:rPr>
          <w:lang w:val="el" w:eastAsia="el"/>
        </w:rPr>
      </w:pPr>
      <w:r>
        <w:rPr>
          <w:lang w:val="el" w:eastAsia="el"/>
        </w:rPr>
        <w:t>12. Τον Κανονισμό (ΕΕ) 1304/2013 του Ευρωπαϊκού Κοινοβουλίου και του Συμβουλίου, της 17 Δεκεμβρίου 2013, για το Ευρωπαϊκό Κοινωνικό Ταμείο και την κατάργηση του κανονισμού (ΕΚ) 1081/2006 του Συμβουλίου.</w:t>
      </w:r>
    </w:p>
    <w:p>
      <w:pPr>
        <w:pStyle w:val="PreambelText"/>
        <w:spacing w:before="240" w:after="240"/>
        <w:rPr>
          <w:lang w:val="el" w:eastAsia="el"/>
        </w:rPr>
      </w:pPr>
      <w:r>
        <w:rPr>
          <w:lang w:val="el" w:eastAsia="el"/>
        </w:rPr>
        <w:t>13. Τον Κανονισμό (ΕΕ)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και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 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126829/EΥΘΥ1217/8.12.2015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27. Την υπό στοιχεία 137675/ΕΥΘΥ1016/19.12.2018 απόφαση του Υφυπουργού Οικονομίας και Ανάπτυξης «Αντικατάσταση της υπ' αριθμ. 110427/ΕΥΘΥ/ 1020/20.10.2016 (Β'3521) υπουργικής απόφασης με τίτλο «Τροποποίηση και αντικατάσταση της υπ' αριθμ. 81986/ 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1164/08-03-2021 απόφαση του Περιφερειάρχη Δυτικής Ελλάδας «Ορισμός του «Οργανισμού Απασχόλησης Εργατικού Δυναμικού (ΟΑΕΔ)» ως Ενδιάμεσου Φορέα του Επιχειρησιακού Προγράμματος «Δυτική Ελλάδα 2014 -2020» και ανάθεση αρμοδιοτήτων διαχείρισης για Πράξεις Προώθησης στην απασχόληση περιθωριοποιημένων κοινωνικών ομάδων, όπως οι Ρομά, του Επιχειρησιακού Προγράμματος Δυτικής Ελλάδας» (Β' 1114).</w:t>
      </w:r>
    </w:p>
    <w:p>
      <w:pPr>
        <w:pStyle w:val="PreambelText"/>
        <w:spacing w:before="240" w:after="240"/>
        <w:rPr>
          <w:lang w:val="el" w:eastAsia="el"/>
        </w:rPr>
      </w:pPr>
      <w:r>
        <w:rPr>
          <w:lang w:val="el" w:eastAsia="el"/>
        </w:rPr>
        <w:t>30. Την υπ' αρ. 635/8.3.2016 απόφαση του ΔΣ του ΟΑΕΔ Νέος Κανονισμός Εκδίκασης Ενδικοφανών Προσφυγών του ΟΑΕΔ» (Β' 1708).</w:t>
      </w:r>
    </w:p>
    <w:p>
      <w:pPr>
        <w:pStyle w:val="PreambelText"/>
        <w:spacing w:before="240" w:after="240"/>
        <w:rPr>
          <w:lang w:val="el" w:eastAsia="el"/>
        </w:rPr>
      </w:pPr>
      <w:r>
        <w:rPr>
          <w:lang w:val="el" w:eastAsia="el"/>
        </w:rPr>
        <w:t>31. Την υπ' αρ. 353/7-2-2017 απόφαση του ΔΣ του ΟΑΕΔ «Ορισμός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34.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35.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η οποία κοινοποιήθηκε στον ΟΑΕΔ (νυν Δ.ΥΠ.Α.) με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36. Την υπό στοιχεία 108641/1905 ΕΥΚΕ/14-11-2022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οικ. 3535/09-08-2022 σύμφωνη γνώμη της Ειδικής Υπηρεσίας Διαχείρισης Ε.Π. της Περιφέρειας Δυτικής Ελλάδας.</w:t>
      </w:r>
    </w:p>
    <w:p>
      <w:pPr>
        <w:pStyle w:val="PreambelText"/>
        <w:spacing w:before="240" w:after="240"/>
        <w:rPr>
          <w:lang w:val="el" w:eastAsia="el"/>
        </w:rPr>
      </w:pPr>
      <w:r>
        <w:rPr>
          <w:lang w:val="el" w:eastAsia="el"/>
        </w:rPr>
        <w:t>38. Τις υπ' αρ. 4717/6-9-2022, 35/17-01-2023 και 966/15-03-2023 αποφάσεις του ΔΣ της Δ.ΥΠ.Α..</w:t>
      </w:r>
    </w:p>
    <w:p>
      <w:pPr>
        <w:pStyle w:val="PreambelText"/>
        <w:spacing w:before="240" w:after="240"/>
        <w:rPr>
          <w:lang w:val="el" w:eastAsia="el"/>
        </w:rPr>
      </w:pPr>
      <w:r>
        <w:rPr>
          <w:lang w:val="el" w:eastAsia="el"/>
        </w:rPr>
        <w:t>39. Την υπ' αρ. 355269/24-03-2023 βεβαίωση δέσμευσης πίστωσης της Δ.ΥΠ.Α..</w:t>
      </w:r>
    </w:p>
    <w:p>
      <w:pPr>
        <w:pStyle w:val="PreambelText"/>
        <w:spacing w:before="240" w:after="240"/>
        <w:rPr>
          <w:lang w:val="el" w:eastAsia="el"/>
        </w:rPr>
      </w:pPr>
      <w:r>
        <w:rPr>
          <w:lang w:val="el" w:eastAsia="el"/>
        </w:rPr>
        <w:t>40. Την υπ' αρ. 01-05/3868/24-03-2023 (ΑΔΑ: ΨΑΖ-Λ4691Ω2-6ΜΒ) απόφαση ανάληψης υποχρέωσης της Δ.ΥΠ.Α..</w:t>
      </w:r>
    </w:p>
    <w:p>
      <w:pPr>
        <w:pStyle w:val="PreambelText"/>
        <w:spacing w:before="240" w:after="240"/>
        <w:rPr>
          <w:lang w:val="el" w:eastAsia="el"/>
        </w:rPr>
      </w:pPr>
      <w:r>
        <w:rPr>
          <w:lang w:val="el" w:eastAsia="el"/>
        </w:rPr>
        <w:t>41. Τις υπ' αρ. 16231/14-02-2023 και 36184/04-04-2023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42. Το γεγονός ότι από τις διατάξεις της παρούσας προκαλείται συνολική δαπάνη για το έτος 2023 στον κρατικό προϋπολογισμό που βαρύνει τον προϋπολογισμό της Δ.ΥΠ.Α., ύψους έως ενός εκατομμυρίου τριακο-σίων εβδομήντα πέντε χιλιάδων ευρώ (1.375.000,00 €) η οποία συγχρηματοδοτείται από την Ελλάδα και την Ευρωπαϊκή Ένωση (Ευρωπαϊκό Κοινωνικό Ταμείο), μέσω του Επιχειρησιακού Προγράμματος (ΕΠ) «Δυτική Ελλάδα 2014-2020» αφορά την Περιφέρεια Δυτικής Ελλάδας και είναι εντός του προϋπολογισμού του τρέχοντος ΜΠΔΣ,</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Επιχειρησιακού Προγράμματος «Δυτική Ελλάδα», της Προγραμματικής Περιόδου 2014-2020,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το Ελληνικό Δημόσιο και το Ευρωπαϊκό Κοινωνικό Ταμείο στο πλαίσιο του Επιχειρησιακού Προγράμματος (ΕΠ) "Δυτική Ελλάδα 2021-2027". Ως βασικό στόχο έχει την προώθηση στην απασχόληση ανέργων, που ανήκουν σε περιθωριοποιημένες κοινωνικές ομάδες όπως οι Ρομά, οι οποίοι βρίσκονται σε μειονεκτική θέση ως προς την ομαλή ένταξή τους στην αγορά εργασίας. Αντικείμενο της δράσης είναι η προώθηση στην αυτοαπασχόληση, 93 ανέργων ηλικίας 20 έως 44 ετών.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ΕΣΠΑ Πρόσκλησης στο ΟΠΣ-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 "Δυτική Ελλάδα 2021-2027".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 των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(ΕΕ) 2023/2831 (O.J ΕΕ L/15.12.2013) για τις ενισχύσεις ήσσονος σημασίας (de 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1.375.000,00 €</w:t>
            </w:r>
            <w:r>
              <w:rPr>
                <w:rStyle w:val="Hyperlink"/>
                <w:b w:val="0"/>
                <w:bCs w:val="0"/>
                <w:i w:val="0"/>
                <w:iCs w:val="0"/>
                <w:smallCaps w:val="0"/>
                <w:color w:val="000000"/>
                <w:sz w:val="20"/>
                <w:szCs w:val="20"/>
                <w:u w:val="none" w:color="0000EE"/>
                <w:vertAlign w:val="superscript"/>
                <w:lang w:val="el" w:eastAsia="el"/>
              </w:rPr>
              <w:footnoteReference w:id="4"/>
            </w:r>
          </w:p>
        </w:tc>
      </w:tr>
    </w:tbl>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93 ωφελούμενων.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p>
    <w:p>
      <w:pPr>
        <w:spacing w:before="240" w:after="240"/>
        <w:rPr>
          <w:lang w:val="el" w:eastAsia="el"/>
        </w:rPr>
      </w:pPr>
      <w:r>
        <w:rPr>
          <w:lang w:val="el" w:eastAsia="el"/>
        </w:rPr>
        <w:t>Ο δεύτερος κύκλος θα προκηρυχθεί μετά την πάροδο έξι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της Δ.ΥΠ.Α (www.dypa.gov.gr), στην ιστοσελίδα του Υπουργείου Ανάπτυξης και Επενδύσεων (www.ependyseis.gr/mis) και στην ιστοσελίδα του ΕΣΠΑ (www.espa.gr).</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την Ελλάδα και την Ευρωπαϊκή Ένωση (Ευρωπαϊκό Κοινωνικό Ταμείο), μέσω του Επιχειρησιακού Προγράμματος «Δυτική Ελλάδα 2021-2027» και εμπίπτει στα κάτωθι:</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-Προτεραιότητα 4Β "Ενίσχυσης της κοινωνικής συνοχής και του ανθρώπινου δυναμικού στην Περιφέρεια Δυτικής Ελλάδας"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-Δράση 4Β.ι.1.1.: Παρεμβάσεις για την προώθηση της ενεργού ένταξης των Ρομά: Ολοκληρωμένα προγράμματα και λοιπές δράσεις για την ενσωμάτωση των Ρομά στην αγορά εργασίας (που έχουν ξεκινήσει την προηγούμενη προγραμματική περίοδο).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Τα μέτρα ενίσχυσης που πληρούν το σύνολο των κριτηρίων που καθορίζονται στον Κανονισμό (ΕΕ) 2023/2831 θεωρείται ότι δεν ανταποκρίνονται στο σύνολο των κριτηρίων του άρθρου 107 παράγραφος 1 της Συνθήκης και, συνεπώς, δεν υπόκεινται στην υποχρέωση κοινοποίησης που προβλέπεται στο άρθρο 108 παράγραφος 3 της Συνθήκης. Συναφώς, πρέπει να εξετάζεται η τήρηση των σχετικών προϋποθέσεων.</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Σύμφωνα με το άρθρο 1, παρ. 1 του Κανονισμού (ΕΕ) 2023/2831, οι τομείς της πρωτογενούς παραγωγής προϊόντων αλιείας και υδατοκαλλιέργειας (όπως τα προϊόντα αυτά ορίζονται στο άρθρο 5 στοιχεία α) και β) του Κανονισμού (ΕΕ) αριθ.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στο άρθρο 2, παρ. 1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Όταν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Ο Κανονισμός (ΕΕ) 2023/2831 αναφέρεται σε "ενιαία επιχείρηση" (άρθρο 2, παρ. 2). 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Στον έλεγχο ορίων μεμονωμένων ενισχύσεων αθροίζονται οι ενισχύσεις που έχει λάβει η ωφελούμενη επιχειρηματική μονάδα και όλες οι επιχειρήσεις που συνιστούν με αυτήν «ενιαία επιχείρηση», κατά την έννοια της παρ. 2 του άρθρου 2 του Καν. 2023/2831. 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Σύμφωνα με την παρ. 1 του άρθρου 5 του Κανονισμού (ΕΕ) 2023/2831,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2023/2832. Μπορούν να σωρεύονται με ενισχύσεις ήσσονος σημασίας που χορηγούνται βάσει του Κανονισμού (ΕΕ) 1408/2013 και του Κανονισμού (ΕΕ) 717/2014 (παρ. 2 του άρθρου 5 του Κανονισμού 2023/2831), μέχρι το σχετικό ανώτατο όριο που καθορίζεται στην παρ. 2 του άρθρου 3 του Κανονισμού (ΕΕ) 2023/2831.</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11.</w:t>
      </w:r>
      <w:r>
        <w:rPr>
          <w:lang w:val="el" w:eastAsia="el"/>
        </w:rPr>
        <w:t xml:space="preserve"> Ο σχετικός έλεγχος σώρευσης διενεργείται μέσω υποβληθείσας κατά την υποβολή της αίτησης χρηματοδότησης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την παρ. 2 του άρθρου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(ΚΠΑ 2).</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12.</w:t>
      </w:r>
      <w:r>
        <w:rPr>
          <w:lang w:val="el" w:eastAsia="el"/>
        </w:rPr>
        <w:t xml:space="preserve"> Ειδικότερα, ο δυνητικός δικαιούχος αναφέρει στα σχετικά πεδία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 Η νέα ενίσχυση ήσσονος σημασίας σύμφωνα με τον Κανονισμό (ΕΕ) 2023/2831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παράγραφος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13.</w:t>
      </w:r>
      <w:r>
        <w:rPr>
          <w:lang w:val="el" w:eastAsia="el"/>
        </w:rPr>
        <w:t xml:space="preserve"> Το προβλεπόμενο στον Κανονισμό ανώτατο όριο χορηγούμενης ενίσχυσης αφορά σε «ενιαία» επιχείρηση. Όταν με τη χορήγηση της νέας ενίσχυσης ήσσονος σημασίας σημειωθεί υπέρβαση του σχετικού ανώτατου ορίου που ορίζεται προηγουμένως, η εν λόγω νέα ενίσχυση δεν υπάγεται στο ευεργέτημα του Κανονισμού. 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Κώδικα Είσπραξης Δημοσίων Εσόδων (ν. 4978/2022, Α' 190).</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14.</w:t>
      </w:r>
      <w:r>
        <w:rPr>
          <w:lang w:val="el" w:eastAsia="el"/>
        </w:rPr>
        <w:t xml:space="preserve"> 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15.</w:t>
      </w:r>
      <w:r>
        <w:rPr>
          <w:lang w:val="el" w:eastAsia="el"/>
        </w:rPr>
        <w:t xml:space="preserve"> 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παράγραφο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16.</w:t>
      </w:r>
      <w:r>
        <w:rPr>
          <w:lang w:val="el" w:eastAsia="el"/>
        </w:rPr>
        <w:t xml:space="preserve"> 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17.</w:t>
      </w:r>
      <w:r>
        <w:rPr>
          <w:lang w:val="el" w:eastAsia="el"/>
        </w:rPr>
        <w:t xml:space="preserve"> Σύμφωνα με την παρ. 4 του άρθρου 6 του Κανονισμού (ΕΕ) 2023/2831 τα κράτη μέλη χορηγούν νέα ενίσχυση ήσσονος σημασίας σύμφωνα με τον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18.</w:t>
      </w:r>
      <w:r>
        <w:rPr>
          <w:lang w:val="el" w:eastAsia="el"/>
        </w:rPr>
        <w:t xml:space="preserve"> Σύμφωνα με την παρ. 6 του άρθρου 6 του του Κανονισμού (ΕΕ) 2023/2831 τα κράτη μέλη που χρησιμοποιούν κεντρικό Μητρώο σε εθνικό επίπεδο υποβάλλουν στην Επιτροπή έως τις 30 Ιουνίου κάθε έτους συγκεντρωτικά δεδομένα σχετικά με τις ενισχύσεις ήσσονος σημασίας που χορηγήθηκαν για το προηγούμενο έτος. Τα συγκεντρωτικά στοιχεία περιλαμβάνουν τον αριθμό των δικαιούχων, το συνολικό ποσό των ενισχύσεων ήσσονος σημασίας που χορηγήθηκαν και το συνολικό ποσό των ενισχύσεων ήσσονος σημασίας που χορηγήθηκαν ανά τομέα [με χρήση της "ταξινόμησης NACE"]. Η πρώτη υποβολή δεδομένων θα αφορά τις ενισχύσεις ήσσονος σημασίας που θα χορηγηθούν από την 1η Ιανουαρίου έως τις 31 Δεκεμβρίου 2026. Τα κράτη μέλη μπορούν να υποβάλλουν εκθέσεις στην Επιτροπή σχετικά με προηγούμενες περιόδους, όταν τα συγκεντρωτικά δεδομένα είναι διαθέσιμα.</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19.</w:t>
      </w:r>
      <w:r>
        <w:rPr>
          <w:lang w:val="el" w:eastAsia="el"/>
        </w:rPr>
        <w:t xml:space="preserve"> Σύμφωνα με την παρ. 4 του άρθρου 7 του Κανονισμού (ΕΕ) 2023/2831, μέχρι να συγκροτηθεί το κεντρικό Μητρώο του άρθρου 6, όταν ένα κράτος μέλος προτίθεται να χορηγήσει ενίσχυση ήσσονος σημασίας σύμφωνα με τον εν λόγω Κανονισμό, ενημερώνει τον δυνητικό δικαιούχο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σύμφωνα με τον παρόντα Κανονισμό, σε περισσότερες επιχειρήσεις βάσει συγκεκριμένου καθεστώτος και οι εν λόγω επιχειρήσεις λαμβάνουν διαφορετικά ποσά ενίσχυσης βάσει του καθεστώτος αυτού,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βάσει του συγκεκριμένου καθεστώτος.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στο άρθρο 3 παράγραφος 2 του παρόντος Κανονισμού.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20.</w:t>
      </w:r>
      <w:r>
        <w:rPr>
          <w:lang w:val="el" w:eastAsia="el"/>
        </w:rPr>
        <w:t xml:space="preserve"> Ως ημερομηνία χορήγησης της συνολικής ενίσχυσης νοείται η ημερομηνία της εγκριτικής απόφασης (παρ. 3 του άρθρου 3 του Κανονισμού (ΕΕ) 2023/2831) ανεξάρτητα από την ημερομηνία καταβολής της.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Κανονισμού (ΕΕ) 2023/2831).</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21.</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την ένταξη πράξεων με την παρούσα πρόσκληση ανέρχεται σε 200.000 € για το έτος 2024 και σε 1.175.000,00 € για το έτος 2025, και αφορά την Περιφέρεια Δυτικής Ελλάδας.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22.</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στον συμπληρωματικό πίνακα εγκεκριμένων αιτήσεων.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23.</w:t>
      </w:r>
      <w:r>
        <w:rPr>
          <w:lang w:val="el" w:eastAsia="el"/>
        </w:rPr>
        <w:t xml:space="preserve"> Για την παρακολούθηση της πράξης θα χρησιμοποιηθούν οι ακόλουθοι δείκτες εκροών και αποτελέσματος: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Δείκτης Εκροών: ΕΕCO15 "Μειονότητες (συμπεριλαμβανομένων περιθωριοποιημένων κοινοτήτων, όπως οι Ρομά)"</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Δείκτης αποτελέσματος: EECR05 "Μειονότητες (συμπεριλαμβανομένων περιθωριοποιημένων κοινοτήτων, όπως οι Ρομά)"</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24.</w:t>
      </w:r>
      <w:r>
        <w:rPr>
          <w:lang w:val="el" w:eastAsia="el"/>
        </w:rPr>
        <w:t xml:space="preserve"> Σύμφωνα με τις κανονιστικές απαιτήσεις της Προγραμματικής Περιόδου 2021-2027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(δηλ. μετά την έκδοσης της τροποποιημένης Απόφασης Ένταξης και μέχρι την υποβολή του Αιτήματος Καταβολής για την πρώτη δόση) και τη λήξη από τη δράση (έως 4 εβδομάδες από την ημερομηνία λήξεως) και οπωσδήποτε κατά την υποβολή του τελικού αιτήματος καταβολής.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lang w:val="el" w:eastAsia="el"/>
        </w:rPr>
        <w:t>«Η δράση υλοποιείται από τη Δ.ΥΠ.Α., ως Ενδιάμεσο φορέα του Επιχειρησιακού Προγράμματος "ΔΥΤΙΚΗ ΕΛΛΑΔΑ 2021-2027", σύμφωνα με την υπ' αρ. 5421/05.10.2023 (ΑΔΑ: ΡΗ0Κ7Λ6-ΨΙΣ) απόφαση του Περιφερειάρχη Δυτικής Ελλάδας. Η καταγραφή των επιχειρηματικών σχεδίων γίνεται εκ μέρους των δικαιούχων μέσα στο Πληροφοριακό Σύστημα Κρατικών Ενισχύσεων (ΠΣΚΕ) του Υπουργείου Ανάπτυξης και η αξιολόγησή τους διενεργείται από τους αρμόδιους αξιολογητές της Δ.ΥΠ.Α. Η παρακολούθηση των ενταγμένων πράξεων διενεργείται από τα Τμήματα Παρακολούθησης Ενεργητικών Πολιτικών στα ΚΠΑ2 που λειτουργούν σε επίπεδο Υποδιεύθυνσης και από τα Γραφεία Παρακολούθησης Ενεργητικών Πολιτικών στα υπόλοιπα ΚΠΑ2, σύμφωνα με τις υπ' αρ. 2505/57/24-7-2018 και 2149/51/25-7-2017 αποφάσεις του Δ.Σ του ΟΑΕΔ/της Δημόσιας Υπηρεσίας Απασχόλησης, μέσω του ΠΣΚΕ.</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Δικαιούχοι - Όροι και προϋποθέσεις συμμετοχής</w:t>
      </w:r>
    </w:p>
    <w:p>
      <w:pPr>
        <w:spacing w:before="240" w:after="240"/>
        <w:rPr>
          <w:lang w:val="el" w:eastAsia="el"/>
        </w:rPr>
      </w:pPr>
      <w:r>
        <w:rPr>
          <w:lang w:val="el" w:eastAsia="el"/>
        </w:rPr>
        <w:t>1. «Δυνητικοί δικαιούχοι» - ωφελούμενοι της δράσης ορίζονται οι εγγεγραμμένοι άνεργοι στο μητρώο της Δ.ΥΠ.Α των ΚΠΑ 2 που εδρεύουν στην Περιφέρεια Δυτικής Ελλάδας οι οποίοι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 καταυλισμό ηλικίας 20-44 ετών, και υποβάλλουν αίτηση χρηματοδότησης, στην οποία περιλαμβάνεται πρόταση του επιχειρηματικού τους σχεδίου.</w:t>
      </w:r>
    </w:p>
    <w:p>
      <w:pPr>
        <w:spacing w:before="240" w:after="240"/>
        <w:rPr>
          <w:lang w:val="el" w:eastAsia="el"/>
        </w:rPr>
      </w:pPr>
      <w:r>
        <w:rPr>
          <w:lang w:val="el" w:eastAsia="el"/>
        </w:rPr>
        <w:t>2.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20 έως 44 ετών.</w:t>
      </w:r>
    </w:p>
    <w:p>
      <w:pPr>
        <w:spacing w:before="240" w:after="240"/>
        <w:rPr>
          <w:lang w:val="el" w:eastAsia="el"/>
        </w:rPr>
      </w:pPr>
      <w:r>
        <w:rPr>
          <w:lang w:val="el" w:eastAsia="el"/>
        </w:rPr>
        <w:t>β. Να έχουν την ιδιότητα του ανέργου και να πληρούν το ηλικιακό κριτήριο κατά την αίτηση χρηματοδότησης.</w:t>
      </w:r>
    </w:p>
    <w:p>
      <w:pPr>
        <w:spacing w:before="240" w:after="240"/>
        <w:rPr>
          <w:lang w:val="el" w:eastAsia="el"/>
        </w:rPr>
      </w:pPr>
      <w:r>
        <w:rPr>
          <w:lang w:val="el" w:eastAsia="el"/>
        </w:rPr>
        <w:t>Ο έλεγχος της ιδιότητας του εγγεγραμμένου ανέργου διενεργείται:</w:t>
      </w:r>
    </w:p>
    <w:p>
      <w:pPr>
        <w:spacing w:before="240" w:after="240"/>
        <w:rPr>
          <w:lang w:val="el" w:eastAsia="el"/>
        </w:rPr>
      </w:pPr>
      <w:r>
        <w:rPr>
          <w:lang w:val="el" w:eastAsia="el"/>
        </w:rPr>
        <w:t>i. κατά την αξιολόγηση με σημείο αναφοράς/ελέγχου την ημερομηνία υποβολής αίτησης χρηματοδότησης στο ΠΣΚΕ και</w:t>
      </w:r>
    </w:p>
    <w:p>
      <w:pPr>
        <w:spacing w:before="240" w:after="240"/>
        <w:rPr>
          <w:lang w:val="el" w:eastAsia="el"/>
        </w:rPr>
      </w:pPr>
      <w:r>
        <w:rPr>
          <w:lang w:val="el" w:eastAsia="el"/>
        </w:rPr>
        <w:t>ii. πριν την έναρξη της δράσης, ήτοι μία ημέρα πριν την έναρξη δραστηριότητας στη ΔΟΥ.</w:t>
      </w:r>
    </w:p>
    <w:p>
      <w:pPr>
        <w:spacing w:before="240" w:after="240"/>
        <w:rPr>
          <w:lang w:val="el" w:eastAsia="el"/>
        </w:rPr>
      </w:pPr>
      <w:r>
        <w:rPr>
          <w:lang w:val="el" w:eastAsia="el"/>
        </w:rPr>
        <w:t>γ. Να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 οποία θα επισυνάπτεται στην αίτηση χρηματοδότησης που υποβάλλεται στο ΠΣΚΕ.</w:t>
      </w:r>
    </w:p>
    <w:p>
      <w:pPr>
        <w:spacing w:before="240" w:after="240"/>
        <w:rPr>
          <w:lang w:val="el" w:eastAsia="el"/>
        </w:rPr>
      </w:pPr>
      <w:r>
        <w:rPr>
          <w:lang w:val="el" w:eastAsia="el"/>
        </w:rPr>
        <w:t>δ. Να έχουν ωφεληθεί από τη διαδικασία της εξατομικευμένης παρέμβασης της Δ.ΥΠ.Α και να έχει συνταχθεί το Ατομικό Σχέδιο Δράσης μέχρι και την ημερομηνία υποβολής της αίτησης.</w:t>
      </w:r>
    </w:p>
    <w:p>
      <w:pPr>
        <w:spacing w:before="240" w:after="240"/>
        <w:rPr>
          <w:lang w:val="el" w:eastAsia="el"/>
        </w:rPr>
      </w:pPr>
      <w:r>
        <w:rPr>
          <w:lang w:val="el" w:eastAsia="el"/>
        </w:rPr>
        <w:t>ε.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στ.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ζ. Να λειτουργήσουν νόμιμα εντός της ελληνικής επικράτειας.</w:t>
      </w:r>
    </w:p>
    <w:p>
      <w:pPr>
        <w:spacing w:before="240" w:after="240"/>
        <w:rPr>
          <w:lang w:val="el" w:eastAsia="el"/>
        </w:rPr>
      </w:pPr>
      <w:r>
        <w:rPr>
          <w:lang w:val="el" w:eastAsia="el"/>
        </w:rPr>
        <w:t>η.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θ.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lang w:val="el" w:eastAsia="el"/>
        </w:rPr>
        <w:t>ι.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Μέλη Ιδιωτικής Κεφαλαιουχικής Εταιρείας (ΙΚΕ) εφόσον δε συμμετέχουν σε άλλη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στον ν. 4430/2016 (Α' 32).</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spacing w:before="240" w:after="240"/>
        <w:rPr>
          <w:lang w:val="el" w:eastAsia="el"/>
        </w:rPr>
      </w:pPr>
      <w:r>
        <w:rPr>
          <w:lang w:val="el" w:eastAsia="el"/>
        </w:rPr>
        <w:t>3.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shop-in-shop,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(ΕΕ) 2023/2831 της Επιτροπής της 13ης Δεκεμβρίου 2023 όπως αναφέρονται στο ΠΑΡΑΡΤΗΜΑ IV της παρούσας.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viii.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ix.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 Όσοι ασκούσαν ή συμμετείχαν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Για τις περιπτώσεις vii έως x ο δυνητικά δικαιούχος προσκομίζει σχετική υπεύθυνη δήλωση κατά την υποβολή της αίτησης.</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 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spacing w:before="240" w:after="240"/>
        <w:rPr>
          <w:lang w:val="el" w:eastAsia="el"/>
        </w:rPr>
      </w:pPr>
      <w:r>
        <w:rPr>
          <w:lang w:val="el" w:eastAsia="el"/>
        </w:rPr>
        <w:t>4.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spacing w:before="240" w:after="240"/>
        <w:rPr>
          <w:lang w:val="el" w:eastAsia="el"/>
        </w:rPr>
      </w:pPr>
      <w:r>
        <w:rPr>
          <w:lang w:val="el" w:eastAsia="el"/>
        </w:rPr>
        <w:t>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spacing w:before="240" w:after="240"/>
        <w:rPr>
          <w:lang w:val="el" w:eastAsia="el"/>
        </w:rPr>
      </w:pPr>
      <w:r>
        <w:rPr>
          <w:lang w:val="el" w:eastAsia="el"/>
        </w:rPr>
        <w:t>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ή/και εξ αγχιστείας.</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spacing w:before="240" w:after="240"/>
        <w:rPr>
          <w:lang w:val="el" w:eastAsia="el"/>
        </w:rPr>
      </w:pPr>
      <w:r>
        <w:rPr>
          <w:lang w:val="el" w:eastAsia="el"/>
        </w:rPr>
        <w:t>α) 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 να προσκομίζουν σχετικές βεβαιώσεις ή/και πιστοποιητικά, από δημόσιους φορείς.</w:t>
      </w:r>
    </w:p>
    <w:p>
      <w:pPr>
        <w:spacing w:before="240" w:after="240"/>
        <w:rPr>
          <w:lang w:val="el" w:eastAsia="el"/>
        </w:rPr>
      </w:pPr>
      <w:r>
        <w:rPr>
          <w:lang w:val="el" w:eastAsia="el"/>
        </w:rPr>
        <w:t>Η δημιουργία υποκαταστήματος κατά τη διάρκεια της δράσης δεν παραβιάζει τους όρους υπαγωγής στη δράση.</w:t>
      </w:r>
    </w:p>
    <w:p>
      <w:pPr>
        <w:spacing w:before="240" w:after="240"/>
        <w:rPr>
          <w:lang w:val="el" w:eastAsia="el"/>
        </w:rPr>
      </w:pPr>
      <w:r>
        <w:rPr>
          <w:lang w:val="el" w:eastAsia="el"/>
        </w:rPr>
        <w:t>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Πρέπει να τηρηθούν οι απαιτήσεις δημοσιότητας, όπως ορίζονται στα άρθρα 115-117 και στο Παράρτημα ΧΙΙ του Κανονισμού (ΕΕ) 1303/2013, στο Κεφάλαιο ΙΙ του Εκτελεστικού Κανονισμού 821/2014, στον Οδηγό Επικοινωνίας ΕΣΠΑ 2021 - 2027 που εκδόθηκε από τη Γενική Γραμματεία Δημόσιων Επενδύσεων και ΕΣΠΑ του Υπουργείου Ανάπτυξης και Επενδύσεων τον Αύγουστο του 2022 και τα οριζόμενα στο άρθρο 11 της παρούσας και στο Παράρτημα Υποχρεώσεων του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Διάρκεια - ποσό ενίσχυσης</w:t>
      </w:r>
    </w:p>
    <w:p>
      <w:pPr>
        <w:spacing w:before="240" w:after="240"/>
        <w:rPr>
          <w:lang w:val="el" w:eastAsia="el"/>
        </w:rPr>
      </w:pPr>
      <w:r>
        <w:rPr>
          <w:lang w:val="el" w:eastAsia="el"/>
        </w:rPr>
        <w:t>1.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spacing w:before="240" w:after="240"/>
        <w:rPr>
          <w:lang w:val="el" w:eastAsia="el"/>
        </w:rPr>
      </w:pPr>
      <w:r>
        <w:rPr>
          <w:lang w:val="el" w:eastAsia="el"/>
        </w:rPr>
        <w:t>2. Η δράση υλοποιείται σύμφωνα με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Επιτροπή Δημοσιονομικού Ελέγχου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spacing w:before="240" w:after="240"/>
        <w:rPr>
          <w:lang w:val="el" w:eastAsia="el"/>
        </w:rPr>
      </w:pPr>
      <w:r>
        <w:rPr>
          <w:lang w:val="el" w:eastAsia="el"/>
        </w:rPr>
        <w:t>- 1η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spacing w:before="240" w:after="240"/>
        <w:rPr>
          <w:lang w:val="el" w:eastAsia="el"/>
        </w:rPr>
      </w:pPr>
      <w:r>
        <w:rPr>
          <w:lang w:val="el" w:eastAsia="el"/>
        </w:rPr>
        <w:t>- 2η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spacing w:before="240" w:after="240"/>
        <w:rPr>
          <w:lang w:val="el" w:eastAsia="el"/>
        </w:rPr>
      </w:pPr>
      <w:r>
        <w:rPr>
          <w:lang w:val="el" w:eastAsia="el"/>
        </w:rPr>
        <w:t>- 3η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Διαδικασία υποβολής της αίτησης χρηματοδότησης</w:t>
      </w:r>
    </w:p>
    <w:p>
      <w:pPr>
        <w:spacing w:before="240" w:after="240"/>
        <w:rPr>
          <w:lang w:val="el" w:eastAsia="el"/>
        </w:rPr>
      </w:pPr>
      <w:r>
        <w:rPr>
          <w:lang w:val="el" w:eastAsia="el"/>
        </w:rPr>
        <w:t>1.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ηλεκτρονική διεύθυνση www.ependyseis.gr.</w:t>
      </w:r>
    </w:p>
    <w:p>
      <w:pPr>
        <w:spacing w:before="240" w:after="240"/>
        <w:rPr>
          <w:lang w:val="el" w:eastAsia="el"/>
        </w:rPr>
      </w:pPr>
      <w:r>
        <w:rPr>
          <w:lang w:val="el" w:eastAsia="el"/>
        </w:rPr>
        <w:t>2. Μετά τη δημοσίευση της παρούσας, οι δυνητικά δικαιούχοι που επιθυμούν να ενταχθούν στη δράση, υποβάλλουν αίτηση χρηματοδότησης στο ΠΣΚΕ, ως ακολούθως:</w:t>
      </w:r>
    </w:p>
    <w:p>
      <w:pPr>
        <w:spacing w:before="240" w:after="240"/>
        <w:rPr>
          <w:lang w:val="el" w:eastAsia="el"/>
        </w:rPr>
      </w:pPr>
      <w:r>
        <w:rPr>
          <w:lang w:val="el" w:eastAsia="el"/>
        </w:rPr>
        <w:t>i. Για τη σύνδεση χρήστη στο ΠΣΚΕ απαιτείται η χρήση Web browser και η σύνδεση στην ηλεκτρονική διεύθυνση http://www.ependyseis.gr/mis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lang w:val="el" w:eastAsia="el"/>
        </w:rPr>
        <w:t>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iii. Η ηλεκτρονική αίτηση επέχει θέση υπεύθυνης δήλωσης σύμφωνα με το άρθρο 8 του ν.1599/1986,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το Π.Σ. ΕΡΓΑΝΗ (ΣΕΠΕ - Δ.ΥΠ.Α.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iv.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Ο δικαιούχος δεν έχει ενταχθεί σε προηγούμενες δράσεις Νέων Ελεύθερων Επαγγελματιών (ΝΕΕ) της Δ.ΥΠ.Α. (πρώην ΟΑΕΔ) και δ) Ο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β. Υπεύθυνη δήλωση του ν. 1599/1986 στην οποία δηλώνουν ότι: είναι άνεργοι/ες εγγεγραμμένοι/ες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είχαν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r>
        <w:rPr>
          <w:lang w:val="el" w:eastAsia="el"/>
        </w:rPr>
        <w:t>https://www.gov.gr/ipiresies/polites-kai-kathemeri noteta/psephiaka-eggrapha-gov-gr/ekdose-upeuthunes-deloses</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δ.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w:t>
      </w:r>
    </w:p>
    <w:p>
      <w:pPr>
        <w:spacing w:before="240" w:after="240"/>
        <w:rPr>
          <w:lang w:val="el" w:eastAsia="el"/>
        </w:rPr>
      </w:pPr>
      <w:r>
        <w:rPr>
          <w:lang w:val="el" w:eastAsia="el"/>
        </w:rPr>
        <w:t>ε. Υπεύθυνη Δήλωση του ν. 1599/1986 σχετικά με τη σώρευση των ενισχύσεων ήσσονος σημασίας (de minimis)</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3. Ως ημερομηνία έναρξης υποβολής της ηλεκτρονικής αίτησης για τις θέσεις του 1ου κύκλου ορίζεται η 02/06/2023 και ώρα 13:00 και ως ημερομηνία λήξης υποβολής ορίζεται η 24/07/2023 και ώρα 15:00.</w:t>
      </w:r>
    </w:p>
    <w:p>
      <w:pPr>
        <w:spacing w:before="240" w:after="240"/>
        <w:rPr>
          <w:lang w:val="el" w:eastAsia="el"/>
        </w:rPr>
      </w:pPr>
      <w:r>
        <w:rPr>
          <w:lang w:val="el" w:eastAsia="el"/>
        </w:rPr>
        <w:t>Ο κάθε επόμενος κύκλος προκηρύσσεται μετά την πάροδο έξι (6) μηνών από την ημερομηνία ανάρτησης των πινάκων του προηγούμενου κύκλου στην περίπτωση που δεν καλυφθούν οι θέσεις ή και ο προϋπολογισμός.</w:t>
      </w:r>
    </w:p>
    <w:p>
      <w:pPr>
        <w:spacing w:before="240" w:after="240"/>
        <w:rPr>
          <w:lang w:val="el" w:eastAsia="el"/>
        </w:rPr>
      </w:pPr>
      <w:r>
        <w:rPr>
          <w:lang w:val="el" w:eastAsia="el"/>
        </w:rPr>
        <w:t>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(www.ependyseis.gr/mis) και του ΕΣΠΑ (www.espa.gr).</w:t>
      </w:r>
    </w:p>
    <w:p>
      <w:pPr>
        <w:spacing w:before="240" w:after="240"/>
        <w:rPr>
          <w:lang w:val="el" w:eastAsia="el"/>
        </w:rPr>
      </w:pPr>
      <w:r>
        <w:rPr>
          <w:lang w:val="el" w:eastAsia="el"/>
        </w:rPr>
        <w:t>4. Το ΠΣΚΕ δέχεται αιτήσεις μέχρι την καθορισμένη από την ημερομηνία λήξης υποβολής των αιτήσεων χρηματοδότησης ανά κύκλο.</w:t>
      </w:r>
    </w:p>
    <w:p>
      <w:pPr>
        <w:spacing w:before="240" w:after="240"/>
        <w:rPr>
          <w:lang w:val="el" w:eastAsia="el"/>
        </w:rPr>
      </w:pPr>
      <w:r>
        <w:rPr>
          <w:lang w:val="el" w:eastAsia="el"/>
        </w:rPr>
        <w:t>5. Οι αιτήσεις χρηματοδότησης υποβάλλονται από τους δυνητικά δικαιούχους σύμφωνα με το «εγχειρίδιο υποβολής πρότασης» που αναρτάται στην ιστοσελίδα της Δ.ΥΠ.Α.</w:t>
      </w:r>
    </w:p>
    <w:p>
      <w:pPr>
        <w:spacing w:before="240" w:after="240"/>
        <w:rPr>
          <w:lang w:val="el" w:eastAsia="el"/>
        </w:rPr>
      </w:pPr>
      <w:r>
        <w:rPr>
          <w:lang w:val="el" w:eastAsia="el"/>
        </w:rPr>
        <w:t>6. Το ΠΣΚΕ δίνει κωδικό έργου/πράξης και ημερομηνία ολοκλήρωσης της διαδικασίας υποβολής της αίτησης χρηματοδότησης.</w:t>
      </w:r>
    </w:p>
    <w:p>
      <w:pPr>
        <w:spacing w:before="240" w:after="240"/>
        <w:rPr>
          <w:lang w:val="el" w:eastAsia="el"/>
        </w:rPr>
      </w:pPr>
      <w:r>
        <w:rPr>
          <w:lang w:val="el" w:eastAsia="el"/>
        </w:rPr>
        <w:t>7.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spacing w:before="240" w:after="240"/>
        <w:rPr>
          <w:lang w:val="el" w:eastAsia="el"/>
        </w:rPr>
      </w:pPr>
      <w:r>
        <w:rPr>
          <w:lang w:val="el" w:eastAsia="el"/>
        </w:rPr>
        <w:t>8.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spacing w:before="240" w:after="240"/>
        <w:rPr>
          <w:lang w:val="el" w:eastAsia="el"/>
        </w:rPr>
      </w:pPr>
      <w:r>
        <w:rPr>
          <w:lang w:val="el" w:eastAsia="el"/>
        </w:rPr>
        <w:t>9.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Κριτήρια και διαδικασία αξιολόγησης - Έγκριση πράξεων</w:t>
      </w:r>
    </w:p>
    <w:p>
      <w:pPr>
        <w:spacing w:before="240" w:after="240"/>
        <w:rPr>
          <w:lang w:val="el" w:eastAsia="el"/>
        </w:rPr>
      </w:pPr>
      <w:r>
        <w:rPr>
          <w:lang w:val="el" w:eastAsia="el"/>
        </w:rPr>
        <w:t>7.1 Όργανα αξιολόγησης αιτήσεων</w:t>
      </w:r>
    </w:p>
    <w:p>
      <w:pPr>
        <w:spacing w:before="240" w:after="240"/>
        <w:rPr>
          <w:lang w:val="el" w:eastAsia="el"/>
        </w:rPr>
      </w:pPr>
      <w:r>
        <w:rPr>
          <w:lang w:val="el" w:eastAsia="el"/>
        </w:rPr>
        <w:t>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Προϊστάμενος/η του ΚΠΑ2.</w:t>
      </w:r>
    </w:p>
    <w:p>
      <w:pPr>
        <w:spacing w:before="240" w:after="240"/>
        <w:rPr>
          <w:lang w:val="el" w:eastAsia="el"/>
        </w:rPr>
      </w:pPr>
      <w:r>
        <w:rPr>
          <w:lang w:val="el" w:eastAsia="el"/>
        </w:rPr>
        <w:t>7.2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w:t>
      </w:r>
    </w:p>
    <w:p>
      <w:pPr>
        <w:spacing w:before="240" w:after="240"/>
        <w:rPr>
          <w:lang w:val="el" w:eastAsia="el"/>
        </w:rPr>
      </w:pPr>
      <w:r>
        <w:rPr>
          <w:lang w:val="el" w:eastAsia="el"/>
        </w:rPr>
        <w:t>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ηλικιακού ορίου γίνεται για την ημερομηνία υποβολής της αίτησης συμμετοχής στη δράση μέσω του ΠΣΚΕ. Ο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1η Ομάδα κριτηρίων:</w:t>
      </w:r>
    </w:p>
    <w:p>
      <w:pPr>
        <w:spacing w:before="240" w:after="240"/>
        <w:rPr>
          <w:lang w:val="el" w:eastAsia="el"/>
        </w:rPr>
      </w:pPr>
      <w:r>
        <w:rPr>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 Η σαφής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 Η τήρηση των προϋποθέσεων υπαγωγής δικαιούχου έτσι όπως αυτές περιγράφονται στην παρούσα Πρόσκληση (όπως εγγεγραμμένη ανεργία, συμπλήρωση εξατομικευμένης προσέγγισης)</w:t>
      </w:r>
    </w:p>
    <w:p>
      <w:pPr>
        <w:spacing w:before="240" w:after="240"/>
        <w:rPr>
          <w:lang w:val="el" w:eastAsia="el"/>
        </w:rPr>
      </w:pPr>
      <w:r>
        <w:rPr>
          <w:lang w:val="el" w:eastAsia="el"/>
        </w:rPr>
        <w:t>- 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Ενσωμάτωση οριζόντιων πολιτικών και τήρηση θεσμικού πλαισίου.</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 Η τήρηση εθνικών και κοινοτικών κανόνων</w:t>
      </w:r>
    </w:p>
    <w:p>
      <w:pPr>
        <w:spacing w:before="240" w:after="240"/>
        <w:rPr>
          <w:lang w:val="el" w:eastAsia="el"/>
        </w:rPr>
      </w:pPr>
      <w:r>
        <w:rPr>
          <w:lang w:val="el" w:eastAsia="el"/>
        </w:rPr>
        <w:t>- Η συμβατότητα της πράξης με τους κανόνες του ανταγωνισμού και των κρατικών ενισχύσεων.</w:t>
      </w:r>
    </w:p>
    <w:p>
      <w:pPr>
        <w:spacing w:before="240" w:after="240"/>
        <w:rPr>
          <w:lang w:val="el" w:eastAsia="el"/>
        </w:rPr>
      </w:pPr>
      <w:r>
        <w:rPr>
          <w:lang w:val="el" w:eastAsia="el"/>
        </w:rPr>
        <w:t>- Η προαγωγή της ισότητας μεταξύ ανδρών και γυναικών και της μη διάκρισης</w:t>
      </w:r>
    </w:p>
    <w:p>
      <w:pPr>
        <w:spacing w:before="240" w:after="240"/>
        <w:rPr>
          <w:lang w:val="el" w:eastAsia="el"/>
        </w:rPr>
      </w:pPr>
      <w:r>
        <w:rPr>
          <w:lang w:val="el" w:eastAsia="el"/>
        </w:rPr>
        <w:t>- 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 Η αναγκαιότητα υλοποίησης της πράξης</w:t>
      </w:r>
    </w:p>
    <w:p>
      <w:pPr>
        <w:spacing w:before="240" w:after="240"/>
        <w:rPr>
          <w:lang w:val="el" w:eastAsia="el"/>
        </w:rPr>
      </w:pPr>
      <w:r>
        <w:rPr>
          <w:lang w:val="el" w:eastAsia="el"/>
        </w:rPr>
        <w:t>- Η αποδοτικότητα Πράξης</w:t>
      </w:r>
    </w:p>
    <w:p>
      <w:pPr>
        <w:spacing w:before="240" w:after="240"/>
        <w:rPr>
          <w:lang w:val="el" w:eastAsia="el"/>
        </w:rPr>
      </w:pPr>
      <w:r>
        <w:rPr>
          <w:lang w:val="el" w:eastAsia="el"/>
        </w:rPr>
        <w:t>- Η βιωσιμότητα, λειτουργικότητα, αξιοποίηση</w:t>
      </w:r>
    </w:p>
    <w:p>
      <w:pPr>
        <w:spacing w:before="240" w:after="240"/>
        <w:rPr>
          <w:lang w:val="el" w:eastAsia="el"/>
        </w:rPr>
      </w:pPr>
      <w:r>
        <w:rPr>
          <w:lang w:val="el" w:eastAsia="el"/>
        </w:rPr>
        <w:t>- Η καινοτομία</w:t>
      </w:r>
    </w:p>
    <w:p>
      <w:pPr>
        <w:spacing w:before="240" w:after="240"/>
        <w:rPr>
          <w:lang w:val="el" w:eastAsia="el"/>
        </w:rPr>
      </w:pPr>
      <w:r>
        <w:rPr>
          <w:lang w:val="el" w:eastAsia="el"/>
        </w:rPr>
        <w:t>- Η δικτύωση</w:t>
      </w:r>
    </w:p>
    <w:p>
      <w:pPr>
        <w:spacing w:before="240" w:after="240"/>
        <w:rPr>
          <w:lang w:val="el" w:eastAsia="el"/>
        </w:rPr>
      </w:pPr>
      <w:r>
        <w:rPr>
          <w:lang w:val="el" w:eastAsia="el"/>
        </w:rPr>
        <w:t>- Η 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 Το στάδιο εξέλιξης των απαιτούμενων ενεργειών ωρίμανσης της πράξης</w:t>
      </w:r>
    </w:p>
    <w:p>
      <w:pPr>
        <w:spacing w:before="240" w:after="240"/>
        <w:rPr>
          <w:lang w:val="el" w:eastAsia="el"/>
        </w:rPr>
      </w:pPr>
      <w:r>
        <w:rPr>
          <w:lang w:val="el" w:eastAsia="el"/>
        </w:rPr>
        <w:t>- 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(0).Ως ελάχιστο όριο θετικής αξιολόγησης ορίζεται βαθμός &gt;8.</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στάθμισης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spacing w:before="240" w:after="240"/>
        <w:rPr>
          <w:lang w:val="el" w:eastAsia="el"/>
        </w:rPr>
      </w:pPr>
      <w:r>
        <w:rPr>
          <w:lang w:val="el" w:eastAsia="el"/>
        </w:rPr>
        <w:t>7.2.1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Μετά την οριστικοποίηση του συνόλου των αξιολογήσεων, η αξιολόγηση προχωρά στο επόμενο στάδιο αξιολόγησης.</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7.2.2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lang w:val="el" w:eastAsia="el"/>
        </w:rPr>
        <w:t>Οι πίνακες αναρτώνται στην ιστοσελίδα της Δ.ΥΠ.Α. (www.dypa.gov.g r)</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του παρόντος άρθρου «ΔΙΑΔΙΚΑΣΙΑ ΕΝΣΤΑΣΕΩΝ» της παρούσας πρόσκλησης, από τη λήψη σχετικού ηλεκτρονικού μηνύματος στη δηλωθείσα ηλεκτρονική δ/νση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spacing w:before="240" w:after="240"/>
        <w:rPr>
          <w:lang w:val="el" w:eastAsia="el"/>
        </w:rPr>
      </w:pPr>
      <w:r>
        <w:rPr>
          <w:lang w:val="el" w:eastAsia="el"/>
        </w:rPr>
        <w:t> </w:t>
      </w:r>
    </w:p>
    <w:p>
      <w:pPr>
        <w:spacing w:before="240" w:after="240"/>
        <w:rPr>
          <w:lang w:val="el" w:eastAsia="el"/>
        </w:rPr>
      </w:pPr>
      <w:r>
        <w:rPr>
          <w:lang w:val="el" w:eastAsia="el"/>
        </w:rPr>
        <w:t>7.3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 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(www.dypa.gov.gr). 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του παρόντος άρθρου.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Σύμφωνα με την υπ' αρ. 1539/50/2024 απόφαση ΔΣ της ΔΥΠΑ (Β 3571), όλες οι ενστάσεις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Οι αποφάσεις επί των ενστάσεων, οι οποίες είναι επαρκώς αιτιολογημένες εκδίδονται από την Κεντρική Επιτροπή Εξέτασης Ενστάσεων (Κ.ΕΠ.Ε.Ε.) και κοινοποιούνται στους προσφεύγοντες. Η Κ.ΕΠ.Ε.Ε. μετά την εξέταση των ενστάσεων οφείλει να γνωστοποιεί τις αποφάσεις της εγγράφως ή με ηλεκτρονικό τρόπο στους προσφεύγοντες και στα αρμόδια ΚΠΑ2.</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του παρόντος άρθρου.</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7.4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spacing w:before="240" w:after="240"/>
        <w:rPr>
          <w:lang w:val="el" w:eastAsia="el"/>
        </w:rPr>
      </w:pPr>
      <w:r>
        <w:rPr>
          <w:lang w:val="el" w:eastAsia="el"/>
        </w:rPr>
        <w:t>Η Δ.ΥΠ.Α είναι υπεύθυνη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του χρηματοδοτούμενου,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7.5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ενημέρωσή τους μέσω ηλεκτρονικού ταχυδρομείου (e-mail) για την απόφαση Ένταξης με την οποία εντάσσονται στην δράση και η οποία αναρτάται και στην ιστοσελίδα της Δ.ΥΠ.Α.</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w:t>
      </w:r>
    </w:p>
    <w:p>
      <w:pPr>
        <w:spacing w:before="240" w:after="240"/>
        <w:rPr>
          <w:lang w:val="el" w:eastAsia="el"/>
        </w:rPr>
      </w:pPr>
      <w:r>
        <w:rPr>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(άρθρο 4, παρ. 2, περ. α και β).</w:t>
      </w:r>
    </w:p>
    <w:p>
      <w:pPr>
        <w:spacing w:before="240" w:after="240"/>
        <w:rPr>
          <w:lang w:val="el" w:eastAsia="el"/>
        </w:rPr>
      </w:pPr>
      <w:r>
        <w:rPr>
          <w:lang w:val="el" w:eastAsia="el"/>
        </w:rPr>
        <w:t>Επιπλέον ελέγχεται ότι ο δυνητικός δικαιούχος συμπεριλαμβάνεται στο πίνακα εγκεκριμένων αιτήσεων και ότι έχει ολοκληρώσει τη διαδικασία έναρξης δραστηριότητας στη ΔΟΥ.</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Διαδικασία υλοποίησης - Παρακολούθηση πράξεων</w:t>
      </w:r>
    </w:p>
    <w:p>
      <w:pPr>
        <w:spacing w:before="240" w:after="240"/>
        <w:rPr>
          <w:lang w:val="el" w:eastAsia="el"/>
        </w:rPr>
      </w:pPr>
      <w:r>
        <w:rPr>
          <w:lang w:val="el" w:eastAsia="el"/>
        </w:rPr>
        <w:t>8.1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 αρ. 3066/12-01-2023 (Β' 155) κοινή υπουργική απόφαση.</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 αρ. 5483/20-01-2023 κοινή υπουργική απόφαση "Διαδικασίες δημοσιονομικών διορθώσεων και αναζήτησης αχρεωστήτως ή παρανόμως καταβληθέντων ποσών στα Τομεακά και Περιφερειακά Προγράμματα του ΕΣΠΑ 2021-2027" (Β' 390) και σύμφωνα προς τα άρθρα 42 του ν. 4914/2022 και 72, 74 και 79 του Κανονισμού (ΕΕ) 2021/1060. Σύμφωνα με το άρθρο 29 "Διοικητική συνδρομή Ο.Α.Ε.Δ. - Προστασία ελεγκτών Ο.Α.Ε.Δ." του ν. 4144/2013 ορίζει ότι:</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3 της υπ' αρ. 5483/ 20-01-2023 (Β' 390) κοινής υπουργικής απόφασης.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πιστοποίησης, η οποία καταχωρείται στο ΠΣΚΕ.</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8.2 Χρηματοδότηση</w:t>
      </w:r>
    </w:p>
    <w:p>
      <w:pPr>
        <w:spacing w:before="240" w:after="240"/>
        <w:rPr>
          <w:lang w:val="el" w:eastAsia="el"/>
        </w:rPr>
      </w:pPr>
      <w:r>
        <w:rPr>
          <w:lang w:val="el" w:eastAsia="el"/>
        </w:rPr>
        <w:t>8.2.1 Υποβολή αίτησης για καταβολή της πρώτης δόσης Εντός 30 ημερών από την ημερομηνία από την ημερομηνία ανάρτησης της τροποποίησης της απόφασης Ένταξης στην ιστοσελίδα της Δ.ΥΠ.Α.,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p>
    <w:p>
      <w:pPr>
        <w:spacing w:before="240" w:after="240"/>
        <w:rPr>
          <w:lang w:val="el" w:eastAsia="el"/>
        </w:rPr>
      </w:pPr>
      <w:r>
        <w:rPr>
          <w:lang w:val="el" w:eastAsia="el"/>
        </w:rPr>
        <w:t>iii. Γνωστοποίηση για την έναρξη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υπό στοιχεία 32790/392/Φ.15/2017 (Β' 1061) υπουργική απόφαση].</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p>
    <w:p>
      <w:pPr>
        <w:spacing w:before="240" w:after="240"/>
        <w:rPr>
          <w:lang w:val="el" w:eastAsia="el"/>
        </w:rPr>
      </w:pPr>
      <w:r>
        <w:rPr>
          <w:lang w:val="el" w:eastAsia="el"/>
        </w:rPr>
        <w:t>v. Φορολογική και Ασφαλιστική ενημερότητα σύμφωνα με τα οριζόμενα στο άρθρο 61 του ν. 4914/2022.</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vi. Βεβαίωση εγγραφής στο Μητρώο Πραγματικών Δικαιούχων του άρθρου 20 του ν.4557/2018 (Α' 139), ως ισχύει. (ΠΑΡΑΡΤΗΜΑ XI)</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8.2.2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στο άρθρο 61 του ν. 4914/2022.</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8.2.3. Εντός 30 ημερών από την παρέλευση δώδεκα (12) μηνών από την ημερομηνία έναρξης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Τα δικαιολογητικά που οφείλει να επισυνάψει ο δικαιούχος στο ΠΣΚΕ είναι τα εξής: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v. Ατομικός Λογαριασμός Ασφάλισης (ΠΣ e-ΕΦΚΑ).</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vi. Φορολογική και Ασφαλιστική ενημερότητα σύμφωνα με τα οριζόμενα στο άρθρο 61 του ν. 4914/2022.</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Το ποσό που καταβάλλεται στους δικαιούχους σύμφωνα με τα οριζόμενα στο άρθρο 61 του ν. 4914/2022, δεν υπόκειται σε παρακράτηση ή κατάσχεση στα χέρια του Δημοσίου ή τρίτων κατά παρέκκλιση κάθε άλλης αντίθετης γενικής ή ειδικής διάταξης,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εισπράττεται οποιαδήποτε άλλη ειδική επιβάρυνση ή άλλο τέλος ισοδύναμου αποτελέσματος, το οποίο θα είχε ως αποτέλεσμα τη μείωση του ποσού που οφείλεται στους δικαιούχους.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Οι πληρωμές στους δικαιούχους καταβάλλονται μόνο με την προσκόμιση αποδεικτικών φορολογικής και ασφαλιστικής ενημερότητας, σύμφωνα με τις ισχύουσες διατάξεις περί φορολογικής και ασφαλιστικής ενημερότητας για είσπραξη χρημάτων, χωρίς όμως τον όρο της παρακράτησης.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61 του ν. 4914/2022 η ενίσχυση καταβάλλεται εντός 80 ημερών από την ημερομηνία υποβολής της σχετικής αίτησης καταβολής.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8.3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Ατόμων με Αναπηρία.</w:t>
      </w:r>
    </w:p>
    <w:p>
      <w:pPr>
        <w:spacing w:before="240" w:after="240"/>
        <w:rPr>
          <w:lang w:val="el" w:eastAsia="el"/>
        </w:rPr>
      </w:pPr>
      <w:r>
        <w:rPr>
          <w:lang w:val="el" w:eastAsia="el"/>
        </w:rPr>
        <w:t>Αναφορικά με τη διασφάλιση προσβασιμότητας Ατόμων με Αναπηρία ισχύουν τα ακόλουθα:</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Όταν διαπιστώνεται κατά την επιτόπια επαλήθευση ότι η επιχείρηση δεν διαθέτει υποδομές για πρόσβαση ΑΜΕΑ, θα ζητείται από τους ελεγκτές Υπεύθυνη Δήλωση στην οποία η επιχείρηση θα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 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spacing w:before="240" w:after="240"/>
        <w:rPr>
          <w:lang w:val="el" w:eastAsia="el"/>
        </w:rPr>
      </w:pPr>
      <w:r>
        <w:rPr>
          <w:lang w:val="el" w:eastAsia="el"/>
        </w:rPr>
        <w:t>8.4 Διενέργεια Διοικητικής Επαλήθευσης</w:t>
      </w:r>
    </w:p>
    <w:p>
      <w:pPr>
        <w:spacing w:before="240" w:after="240"/>
        <w:rPr>
          <w:lang w:val="el" w:eastAsia="el"/>
        </w:rPr>
      </w:pPr>
      <w:r>
        <w:rPr>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spacing w:before="240" w:after="240"/>
        <w:rPr>
          <w:lang w:val="el" w:eastAsia="el"/>
        </w:rPr>
      </w:pPr>
      <w:r>
        <w:rPr>
          <w:lang w:val="el" w:eastAsia="el"/>
        </w:rPr>
        <w:t>8.5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παρόντος άρθρου ή εξαιτίας της υποβολής ελλιπών δικαιολογητικών,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της Δ.ΥΠ.Α.</w:t>
      </w:r>
    </w:p>
    <w:p>
      <w:pPr>
        <w:spacing w:before="240" w:after="240"/>
        <w:rPr>
          <w:lang w:val="el" w:eastAsia="el"/>
        </w:rPr>
      </w:pPr>
      <w:r>
        <w:rPr>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έπεται της απόφασης ένταξης βάσει του ισχύοντος κανονιστικού πλαισίου.</w:t>
      </w:r>
    </w:p>
    <w:p>
      <w:pPr>
        <w:spacing w:before="240" w:after="240"/>
        <w:rPr>
          <w:lang w:val="el" w:eastAsia="el"/>
        </w:rPr>
      </w:pPr>
      <w:r>
        <w:rPr>
          <w:lang w:val="el" w:eastAsia="el"/>
        </w:rPr>
        <w:t>Βασική προϋπόθεση για την καταβολή της ενίσχυσης είναι η τεκμηρίωση της λειτουργίας της επιχείρησης ανεξαρτήτως του ύψους του κύκλου εργασιών.</w:t>
      </w:r>
    </w:p>
    <w:p>
      <w:pPr>
        <w:spacing w:before="240" w:after="240"/>
        <w:rPr>
          <w:lang w:val="el" w:eastAsia="el"/>
        </w:rPr>
      </w:pPr>
      <w:r>
        <w:rPr>
          <w:lang w:val="el" w:eastAsia="el"/>
        </w:rPr>
        <w:t>Η καταβολή της τρίτης και τελευταίας δόσης (τελική πληρωμή) συνδέεται με την συμπλήρωση του απογραφικού δελτίου εξόδου μέσα στο ΠΣΚΕ.</w:t>
      </w:r>
    </w:p>
    <w:p>
      <w:pPr>
        <w:spacing w:before="240" w:after="240"/>
        <w:rPr>
          <w:lang w:val="el" w:eastAsia="el"/>
        </w:rPr>
      </w:pPr>
      <w:r>
        <w:rPr>
          <w:lang w:val="el" w:eastAsia="el"/>
        </w:rPr>
        <w:t>8.6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Κεντρικής Επιτροπής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Π.ΕΠ.Ε.Ε. μέσα σε εξήντα (60) ημέρες από την καταληκτική ημερομηνία υποβολής των αντιρρήσεων και κοινοποιούνται στους προσφεύγοντες και στα αρμόδια ΚΠΑ2.</w:t>
      </w:r>
      <w:r>
        <w:rPr>
          <w:rStyle w:val="Hyperlink"/>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Τροποποιήσεις</w:t>
      </w:r>
    </w:p>
    <w:p>
      <w:pPr>
        <w:spacing w:before="240" w:after="240"/>
        <w:rPr>
          <w:lang w:val="el" w:eastAsia="el"/>
        </w:rPr>
      </w:pPr>
      <w:r>
        <w:rPr>
          <w:lang w:val="el" w:eastAsia="el"/>
        </w:rPr>
        <w:t>9.1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7.5 του άρθρου 7 της παρούσας.</w:t>
      </w:r>
    </w:p>
    <w:p>
      <w:pPr>
        <w:spacing w:before="240" w:after="240"/>
        <w:rPr>
          <w:lang w:val="el" w:eastAsia="el"/>
        </w:rPr>
      </w:pPr>
      <w:r>
        <w:rPr>
          <w:lang w:val="el" w:eastAsia="el"/>
        </w:rPr>
        <w:t>9.2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η οποία εκδίδεται μετά την τελική εκταμίευση και κοινοποιείται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α) Ο δικαιούχος της ενίσχυσης υποχρεούται στην τήρηση των όρων που προβλέπονται στην παρούσα.</w:t>
      </w:r>
    </w:p>
    <w:p>
      <w:pPr>
        <w:spacing w:before="240" w:after="240"/>
        <w:rPr>
          <w:lang w:val="el" w:eastAsia="el"/>
        </w:rPr>
      </w:pPr>
      <w:r>
        <w:rPr>
          <w:lang w:val="el" w:eastAsia="el"/>
        </w:rPr>
        <w:t>β) Ο δικαιούχος της ενίσχυσης δεν μπορεί να ενισχυθεί κατά την διάρκεια του προγράμματος από οποιαδήποτε άλλο πρόγραμμα ή δράση. Σε αντίθετη περίπτωση επιβάλλεται δημοσιονομική διόρθωση με επιστροφή της δημόσιας επιχορήγησης.</w:t>
      </w:r>
    </w:p>
    <w:p>
      <w:pPr>
        <w:spacing w:before="240" w:after="240"/>
        <w:rPr>
          <w:lang w:val="el" w:eastAsia="el"/>
        </w:rPr>
      </w:pPr>
      <w:r>
        <w:rPr>
          <w:lang w:val="el" w:eastAsia="el"/>
        </w:rPr>
        <w:t>γ) 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spacing w:before="240" w:after="240"/>
        <w:rPr>
          <w:lang w:val="el" w:eastAsia="el"/>
        </w:rPr>
      </w:pPr>
      <w:r>
        <w:rPr>
          <w:lang w:val="el" w:eastAsia="el"/>
        </w:rPr>
        <w:t>- 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spacing w:before="240" w:after="240"/>
        <w:rPr>
          <w:lang w:val="el" w:eastAsia="el"/>
        </w:rPr>
      </w:pPr>
      <w:r>
        <w:rPr>
          <w:lang w:val="el" w:eastAsia="el"/>
        </w:rPr>
        <w:t>- 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spacing w:before="240" w:after="240"/>
        <w:rPr>
          <w:lang w:val="el" w:eastAsia="el"/>
        </w:rPr>
      </w:pPr>
      <w:r>
        <w:rPr>
          <w:lang w:val="el" w:eastAsia="el"/>
        </w:rPr>
        <w:t>δ) 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spacing w:before="240" w:after="240"/>
        <w:rPr>
          <w:lang w:val="el" w:eastAsia="el"/>
        </w:rPr>
      </w:pPr>
      <w:r>
        <w:rPr>
          <w:lang w:val="el" w:eastAsia="el"/>
        </w:rPr>
        <w:t>ε) 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spacing w:before="240" w:after="240"/>
        <w:rPr>
          <w:lang w:val="el" w:eastAsia="el"/>
        </w:rPr>
      </w:pPr>
      <w:r>
        <w:rPr>
          <w:lang w:val="el" w:eastAsia="el"/>
        </w:rPr>
        <w:t>στ) 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spacing w:before="240" w:after="240"/>
        <w:rPr>
          <w:lang w:val="el" w:eastAsia="el"/>
        </w:rPr>
      </w:pPr>
      <w:r>
        <w:rPr>
          <w:lang w:val="el" w:eastAsia="el"/>
        </w:rPr>
        <w:t>ζ) 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 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 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 Να αποδέχονται τη συμπερίληψή τους στον κατάλογο των πράξεων του ΕΠ που δημοσιοποιεί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και όσον αφορά στη δημοσιονομική διόρθωση, εφαρμόζονται οι διατάξεις της κοινής υπουργικής απόφασης υπ' αρ. 5483/20.01.2023 (Β' 390) σε συνδυασμό με τις διατάξεις της υπ' αρ. 5421/05.10.2023 (ΑΔΑ: ΡΗ0Κ7Λ6-ΨΙΣ) απόφασης του Περιφερειάρχη Δυτικής Ελλάδας.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εφαρμόζονται όσα προβλέπονται στο άρθρο 33, παρ. 3 του ν. 4314/2014 (Α' 265).</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για κάθε ημερολογιακό έτος, σύμφωνα με την ανακοίνωση της Επιτροπής σχετικά με την αναθεώρηση της μεθόδου καθορισμού των επιτοκίων αναφοράς και προεξόφλησης (2008/04/06). Επίσης, εφαρμόζονται και οι διατάξεις του ν. 4978/2022 (Α' 190) και του ν.4270/2014 (Α' 143).</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Πληροφόρηση</w:t>
      </w:r>
    </w:p>
    <w:p>
      <w:pPr>
        <w:spacing w:before="240" w:after="240"/>
        <w:rPr>
          <w:lang w:val="el" w:eastAsia="el"/>
        </w:rPr>
      </w:pPr>
      <w:r>
        <w:rPr>
          <w:lang w:val="el" w:eastAsia="el"/>
        </w:rPr>
        <w:t>1. Η ηλεκτρονική υποβολή θα γίνει στο Πληροφοριακό Σύστημα Διαχείρισης Κρατικών Ενισχύσεων (www.ependyseis.gr/mis)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(www.dypa.gov.gr), στην ιστοσελίδα του Υπουργείου Ανάπτυξης και Επενδύσεων (www.ependyseis.gr) και του ΕΣΠΑ (www.espa.gr).</w:t>
      </w:r>
    </w:p>
    <w:p>
      <w:pPr>
        <w:spacing w:before="240" w:after="240"/>
        <w:rPr>
          <w:lang w:val="el" w:eastAsia="el"/>
        </w:rPr>
      </w:pPr>
      <w:r>
        <w:rPr>
          <w:lang w:val="el" w:eastAsia="el"/>
        </w:rPr>
        <w:t>Η παρούσα δημοσιεύεται στο Πρόγραμμα ΔΙΑΥΓΕΙΑ και αναρτάται στην ιστοσελίδα της Δ.ΥΠ.Α, του ΕΣΠΑ και στην ιστοσελίδα www.ependyseis.gr/mis.</w:t>
      </w:r>
    </w:p>
    <w:p>
      <w:pPr>
        <w:spacing w:before="240" w:after="240"/>
        <w:rPr>
          <w:lang w:val="el" w:eastAsia="el"/>
        </w:rPr>
      </w:pPr>
      <w:r>
        <w:rPr>
          <w:lang w:val="el" w:eastAsia="el"/>
        </w:rPr>
        <w:t>Συντάσσεται Δελτίο Τύπου, για ενημέρωση των δυνητικά δικαιούχων, το οποίο αναρτάται στην ιστοσελίδα της Δ.ΥΠ.Α και αποστέλλεται μέσω του Γραφείου Τύπου της Δ.ΥΠ.Α στον ημερήσιο τύπο.</w:t>
      </w:r>
    </w:p>
    <w:p>
      <w:pPr>
        <w:spacing w:before="240" w:after="240"/>
        <w:rPr>
          <w:lang w:val="el" w:eastAsia="el"/>
        </w:rPr>
      </w:pPr>
      <w:r>
        <w:rPr>
          <w:lang w:val="el" w:eastAsia="el"/>
        </w:rPr>
        <w:t>2.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(ΕΕ) 2016/679 του Ευρωπαϊκού Κοινοβουλίου και του Συμβουλίου της 27 ης Απριλίου 2016 «Γ 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(GTPR),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Τελικές Διατάξεις</w:t>
      </w:r>
    </w:p>
    <w:p>
      <w:pPr>
        <w:spacing w:before="240" w:after="240"/>
        <w:rPr>
          <w:lang w:val="el" w:eastAsia="el"/>
        </w:rPr>
      </w:pPr>
      <w:r>
        <w:rPr>
          <w:lang w:val="el" w:eastAsia="el"/>
        </w:rPr>
        <w:t>1.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2. Η Ειδική Υπηρεσία Διαχείρισης του ΕΠ «ΔΥΤΙΚΗ ΕΛΛΑΔΑ 2014-2020» διατηρεί το δικαίωμα να πραγματοποιεί επαληθεύσεις στη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Επιτροπή Δημοσιονομικού Ελέγχου (ΕΔΕΛ) καθώς και τα αρμόδια όργανα της Ε.Ε.</w:t>
      </w:r>
    </w:p>
    <w:p>
      <w:pPr>
        <w:spacing w:before="240" w:after="240"/>
        <w:rPr>
          <w:lang w:val="el" w:eastAsia="el"/>
        </w:rPr>
      </w:pPr>
      <w:r>
        <w:rPr>
          <w:b/>
          <w:bCs/>
          <w:u w:val="single"/>
          <w:lang w:val="el" w:eastAsia="el"/>
        </w:rPr>
        <w:t>Παραρτήματα</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ΚΩΝΣΤΑΝΤΙΝΟΣ ΧΑΤΖΗΔΑΚΗΣ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43356/26.08.202426.08.2024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43356/26.08.202426.08.2024</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43356/26.08.202426.08.2024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