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ΘΕΜΑ : Τροποποίηση της υπό στοιχεία ΠΟΛ.1194/27-08-2015 απόφασης της Γενικής Γραμματέως Δημοσίων Εσόδων (ΓΓΔΕ) του Υπουργείου Οικονομικών «Διαδικασία απαλλαγής από το Φ.Π.Α. εισαγωγής αγαθών που προορίζονται να εξαχθούν ή να παραδοθούν σε υποκείμενο στο Φ.Π.Α. πρόσωπο εγκατεστημένο σε άλλο κράτος μέλος της ΕΕ» (Β΄1968).</w:t>
      </w:r>
    </w:p>
    <w:p>
      <w:pPr>
        <w:pStyle w:val="enacting"/>
        <w:spacing w:before="120" w:after="0"/>
        <w:rPr>
          <w:lang w:val="el" w:eastAsia="el"/>
        </w:rPr>
      </w:pPr>
      <w:r>
        <w:rPr>
          <w:b/>
          <w:bCs/>
          <w:lang w:val="el" w:eastAsia="el"/>
        </w:rPr>
        <w:t>ΑΠΟΦΑΣΗ</w:t>
      </w:r>
      <w:r>
        <w:rPr>
          <w:lang w:val="el" w:eastAsia="el"/>
        </w:rPr>
        <w:br/>
      </w:r>
      <w:r>
        <w:rPr>
          <w:b/>
          <w:bCs/>
          <w:lang w:val="el" w:eastAsia="el"/>
        </w:rPr>
        <w:t>Ο ΔΙΟΙΚΗΤΗΣ ΤΗΣ ΑΝΕΞΑΡΤΗΤΗΣ ΑΡΧΗΣ ΔΗΜΟΣΙΩΝ ΕΣΟΔΩΝ</w:t>
      </w:r>
    </w:p>
    <w:p>
      <w:pPr>
        <w:pStyle w:val="PreambelText"/>
        <w:spacing w:before="240" w:after="240"/>
        <w:rPr>
          <w:lang w:val="el" w:eastAsia="el"/>
        </w:rPr>
      </w:pPr>
      <w:r>
        <w:rPr>
          <w:b/>
          <w:bCs/>
          <w:lang w:val="el" w:eastAsia="el"/>
        </w:rPr>
        <w:t>Έχοντας υπόψη :</w:t>
      </w:r>
    </w:p>
    <w:p>
      <w:pPr>
        <w:pStyle w:val="PreambelText"/>
        <w:spacing w:before="240" w:after="240"/>
        <w:rPr>
          <w:lang w:val="el" w:eastAsia="el"/>
        </w:rPr>
      </w:pPr>
      <w:r>
        <w:rPr>
          <w:lang w:val="el" w:eastAsia="el"/>
        </w:rPr>
        <w:t xml:space="preserve">1. </w:t>
      </w:r>
      <w:r>
        <w:rPr>
          <w:b/>
          <w:bCs/>
          <w:lang w:val="el" w:eastAsia="el"/>
        </w:rPr>
        <w:t>Τις διατάξεις:</w:t>
      </w:r>
    </w:p>
    <w:p>
      <w:pPr>
        <w:pStyle w:val="PreambelText"/>
        <w:spacing w:before="240" w:after="240"/>
        <w:rPr>
          <w:lang w:val="el" w:eastAsia="el"/>
        </w:rPr>
      </w:pPr>
      <w:r>
        <w:rPr>
          <w:b/>
          <w:bCs/>
          <w:lang w:val="el" w:eastAsia="el"/>
        </w:rPr>
        <w:t>α. Των άρθρων 2, 10, 17, της περ. ζ) της παρ.1 και ιδίως της εξουσιοδοτικής διάταξης της παρ. 2 του άρθρου 24, της περ. δ) της παρ.1, της παρ. 2 και ιδίως της εξουσιοδοτικής διάταξης της παρ. 3 του άρθρου 28 και 60 του Κώδικα Φόρου Προστιθέμενης Αξίας (ν. 2859/2000, Α΄ 248),</w:t>
      </w:r>
    </w:p>
    <w:p>
      <w:pPr>
        <w:pStyle w:val="PreambelText"/>
        <w:spacing w:before="240" w:after="240"/>
        <w:rPr>
          <w:lang w:val="el" w:eastAsia="el"/>
        </w:rPr>
      </w:pPr>
      <w:r>
        <w:rPr>
          <w:b/>
          <w:bCs/>
          <w:lang w:val="el" w:eastAsia="el"/>
        </w:rPr>
        <w:t>β. του Κεφαλαίου Α΄ «Σύσταση Ανεξάρτητης Αρχής Δημοσίων Εσόδων» του Μέρους Πρώτου του ν. 4389/2016 «Επείγουσες διατάξεις για την εφαρμογή της συμφωνίας δημοσιονομικών στόχων και διαρθρωτικών μεταρρυθμίσεων και άλλες διατάξεις» (Α΄ 94) και ειδικότερα της περ. δ) της παρ. 2 του άρθρου 2, του άρθρου 7, της παρ. 1 του άρθρου 14 και του άρθρου 41 αυτού,</w:t>
      </w:r>
    </w:p>
    <w:p>
      <w:pPr>
        <w:pStyle w:val="PreambelText"/>
        <w:spacing w:before="240" w:after="240"/>
        <w:rPr>
          <w:lang w:val="el" w:eastAsia="el"/>
        </w:rPr>
      </w:pPr>
      <w:r>
        <w:rPr>
          <w:b/>
          <w:bCs/>
          <w:lang w:val="el" w:eastAsia="el"/>
        </w:rPr>
        <w:t>γ. των άρθρων 29, 30, 31 και 33 του Εθνικού Τελωνειακού Κώδικα (ν. 2960/2001, Α΄ 265),</w:t>
      </w:r>
    </w:p>
    <w:p>
      <w:pPr>
        <w:pStyle w:val="PreambelText"/>
        <w:spacing w:before="240" w:after="240"/>
        <w:rPr>
          <w:lang w:val="el" w:eastAsia="el"/>
        </w:rPr>
      </w:pPr>
      <w:r>
        <w:rPr>
          <w:b/>
          <w:bCs/>
          <w:lang w:val="el" w:eastAsia="el"/>
        </w:rPr>
        <w:t>δ. του Καν. (ΕΕ) αριθ. 952/2013 του Ευρωπαϊκού Κοινοβουλίου και του Συμβουλίου της 09</w:t>
      </w:r>
      <w:r>
        <w:rPr>
          <w:b/>
          <w:bCs/>
          <w:sz w:val="30"/>
          <w:szCs w:val="30"/>
          <w:vertAlign w:val="superscript"/>
          <w:lang w:val="el" w:eastAsia="el"/>
        </w:rPr>
        <w:t xml:space="preserve">ης </w:t>
      </w:r>
      <w:r>
        <w:rPr>
          <w:b/>
          <w:bCs/>
          <w:lang w:val="el" w:eastAsia="el"/>
        </w:rPr>
        <w:t>Οκτωβρίου 2013 για τη θέσπιση του Ενωσιακού Τελωνειακού Κώδικα (L 269),</w:t>
      </w:r>
    </w:p>
    <w:p>
      <w:pPr>
        <w:pStyle w:val="PreambelText"/>
        <w:spacing w:before="240" w:after="240"/>
        <w:rPr>
          <w:lang w:val="el" w:eastAsia="el"/>
        </w:rPr>
      </w:pPr>
      <w:r>
        <w:rPr>
          <w:b/>
          <w:bCs/>
          <w:lang w:val="el" w:eastAsia="el"/>
        </w:rPr>
        <w:t>ε. του κατ’ εξουσιοδότηση Καν. (ΕΕ) αριθ. 2015/2446 της Επιτροπής της 28</w:t>
      </w:r>
      <w:r>
        <w:rPr>
          <w:b/>
          <w:bCs/>
          <w:sz w:val="30"/>
          <w:szCs w:val="30"/>
          <w:vertAlign w:val="superscript"/>
          <w:lang w:val="el" w:eastAsia="el"/>
        </w:rPr>
        <w:t>ης</w:t>
      </w:r>
      <w:r>
        <w:rPr>
          <w:b/>
          <w:bCs/>
          <w:lang w:val="el" w:eastAsia="el"/>
        </w:rPr>
        <w:t xml:space="preserve"> Ιουλίου 2015 για τη συμπλήρωση του Καν. (ΕΕ) αριθ. 952/2013 του Ευρωπαϊκού Κοινοβουλίου και του Συμβουλίου όσον αφορά λεπτομερείς κανόνες σχετικούς με ορισμένες διατάξεις του Ενωσιακού Τελωνειακού Κώδικα (L 343),</w:t>
      </w:r>
    </w:p>
    <w:p>
      <w:pPr>
        <w:pStyle w:val="PreambelText"/>
        <w:spacing w:before="240" w:after="240"/>
        <w:rPr>
          <w:lang w:val="el" w:eastAsia="el"/>
        </w:rPr>
      </w:pPr>
      <w:r>
        <w:rPr>
          <w:b/>
          <w:bCs/>
          <w:lang w:val="el" w:eastAsia="el"/>
        </w:rPr>
        <w:t>στ. του εκτελεστικού Καν. (ΕΕ) αριθ. 2015/2447 της Επιτροπής της 24</w:t>
      </w:r>
      <w:r>
        <w:rPr>
          <w:b/>
          <w:bCs/>
          <w:sz w:val="30"/>
          <w:szCs w:val="30"/>
          <w:vertAlign w:val="superscript"/>
          <w:lang w:val="el" w:eastAsia="el"/>
        </w:rPr>
        <w:t>ης</w:t>
      </w:r>
      <w:r>
        <w:rPr>
          <w:b/>
          <w:bCs/>
          <w:lang w:val="el" w:eastAsia="el"/>
        </w:rPr>
        <w:t xml:space="preserve"> Νοεμβρίου 2015 για τη θέσπιση λεπτομερών κανόνων εφαρμογής ορισμένων διατάξεων του Κανονισμού (ΕΕ) αριθμ. 952/2013 του Ευρωπαϊκού Κοινοβουλίου και του Συμβουλίου για τη θέσπιση του Ενωσιακού Τελωνειακού Κώδικα (L 343),</w:t>
      </w:r>
    </w:p>
    <w:p>
      <w:pPr>
        <w:pStyle w:val="PreambelText"/>
        <w:spacing w:before="240" w:after="240"/>
        <w:rPr>
          <w:lang w:val="el" w:eastAsia="el"/>
        </w:rPr>
      </w:pPr>
      <w:r>
        <w:rPr>
          <w:b/>
          <w:bCs/>
          <w:lang w:val="el" w:eastAsia="el"/>
        </w:rPr>
        <w:t>ζ. του Καν. (ΕΟΚ) αριθ. 2658/1987 του Συμβουλίου της 23</w:t>
      </w:r>
      <w:r>
        <w:rPr>
          <w:b/>
          <w:bCs/>
          <w:sz w:val="30"/>
          <w:szCs w:val="30"/>
          <w:vertAlign w:val="superscript"/>
          <w:lang w:val="el" w:eastAsia="el"/>
        </w:rPr>
        <w:t>ης</w:t>
      </w:r>
      <w:r>
        <w:rPr>
          <w:b/>
          <w:bCs/>
          <w:lang w:val="el" w:eastAsia="el"/>
        </w:rPr>
        <w:t xml:space="preserve"> Ιουλίου 1987 για τη δασμολογική και στατιστική ονοματολογία και το κοινό δασμολόγιο (L 256),</w:t>
      </w:r>
    </w:p>
    <w:p>
      <w:pPr>
        <w:pStyle w:val="PreambelText"/>
        <w:spacing w:before="240" w:after="240"/>
        <w:rPr>
          <w:lang w:val="el" w:eastAsia="el"/>
        </w:rPr>
      </w:pPr>
      <w:r>
        <w:rPr>
          <w:b/>
          <w:bCs/>
          <w:lang w:val="el" w:eastAsia="el"/>
        </w:rPr>
        <w:t>η. της υπό στοιχεία Δ.ΟΡΓ.Α. 1125859 ΕΞ 2020/23-10-2020 απόφασης του Διοικητή της Ανεξάρτητης Αρχής Δημοσίων Εσόδων «Οργανισμός της Ανεξάρτητης Αρχής Δημοσίων Εσόδων» (Β΄4738).</w:t>
      </w:r>
    </w:p>
    <w:p>
      <w:pPr>
        <w:pStyle w:val="PreambelText"/>
        <w:spacing w:before="240" w:after="240"/>
        <w:rPr>
          <w:lang w:val="el" w:eastAsia="el"/>
        </w:rPr>
      </w:pPr>
      <w:r>
        <w:rPr>
          <w:lang w:val="el" w:eastAsia="el"/>
        </w:rPr>
        <w:t xml:space="preserve">2. </w:t>
      </w:r>
      <w:r>
        <w:rPr>
          <w:b/>
          <w:bCs/>
          <w:lang w:val="el" w:eastAsia="el"/>
        </w:rPr>
        <w:t>Την υπό στοιχεία Δ6Α 1015213 ΕΞ/28.01.2013 (Β’ 130 και Β’ 372) απόφαση του Υπουργού Οικονομικών και του Υφυπουργού Οικονομικών «Μεταβίβαση αρμοδιοτήτων στον Γενικό Γραμματέα της Γενικής Γραμματείας Δημοσίων Εσόδων του Υπουργείου Οικονομικών, όπως συμπληρώθηκε, τροποποιήθηκε και ισχύει, σε συνδυασμό με τις διατάξεις της περ. α) της παρ. 3 του άρθρου 41 του ν. 4389/2016 (Α΄ 94).</w:t>
      </w:r>
    </w:p>
    <w:p>
      <w:pPr>
        <w:pStyle w:val="PreambelText"/>
        <w:spacing w:before="240" w:after="240"/>
        <w:rPr>
          <w:lang w:val="el" w:eastAsia="el"/>
        </w:rPr>
      </w:pPr>
      <w:r>
        <w:rPr>
          <w:lang w:val="el" w:eastAsia="el"/>
        </w:rPr>
        <w:t xml:space="preserve">3. </w:t>
      </w:r>
      <w:r>
        <w:rPr>
          <w:b/>
          <w:bCs/>
          <w:lang w:val="el" w:eastAsia="el"/>
        </w:rPr>
        <w:t>Την υπό στοιχεία ΠΟΛ.1194/27-08-2015 απόφαση ΓΓΔΕ «Διαδικασία απαλλαγής από το Φ.Π.Α. εισαγωγής αγαθών που προορίζονται να εξαχθούν ή να παραδοθούν σε υποκείμενο στο Φ.Π.Α. πρόσωπο εγκατεστημένο σε άλλο κράτος μέλος της ΕΕ» (Β΄1968).</w:t>
      </w:r>
    </w:p>
    <w:p>
      <w:pPr>
        <w:pStyle w:val="PreambelText"/>
        <w:spacing w:before="240" w:after="240"/>
        <w:rPr>
          <w:lang w:val="el" w:eastAsia="el"/>
        </w:rPr>
      </w:pPr>
      <w:r>
        <w:rPr>
          <w:lang w:val="el" w:eastAsia="el"/>
        </w:rPr>
        <w:t xml:space="preserve">4. </w:t>
      </w:r>
      <w:r>
        <w:rPr>
          <w:b/>
          <w:bCs/>
          <w:lang w:val="el" w:eastAsia="el"/>
        </w:rPr>
        <w:t>Την υπ’ αρ.1 της 20.01.2016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άρθρου 41 του ν. 4389/2016 (Α΄ 94) και τις αποφάσεις υπ’ αρ.39/3/30-11-2017 (Υ.Ο.Δ.Δ. 689) του Συμβουλίου Διοίκησης της ΑΑΔΕ και την αριθ. 5294/17.01.2020 του Υπουργού Οικονομικών «Ανανέωση θητείας του Διοικητή της Ανεξάρτητης Αρχής Δημοσίων Εσόδων» (Υ.Ο.Δ.Δ. 27).</w:t>
      </w:r>
    </w:p>
    <w:p>
      <w:pPr>
        <w:pStyle w:val="PreambelText"/>
        <w:spacing w:before="240" w:after="240"/>
        <w:rPr>
          <w:lang w:val="el" w:eastAsia="el"/>
        </w:rPr>
      </w:pPr>
      <w:r>
        <w:rPr>
          <w:lang w:val="el" w:eastAsia="el"/>
        </w:rPr>
        <w:t xml:space="preserve">5. </w:t>
      </w:r>
      <w:r>
        <w:rPr>
          <w:b/>
          <w:bCs/>
          <w:lang w:val="el" w:eastAsia="el"/>
        </w:rPr>
        <w:t>Την ανάγκη τροποποίησης της ανωτέρω υπό στοιχεία ΠΟΛ.1194/2015 απόφασης ΓΓΔΕ, με σκοπό την καταπολέμηση των φαινομένων καταστρατήγησης του εν λόγω καθεστώτος.</w:t>
      </w:r>
    </w:p>
    <w:p>
      <w:pPr>
        <w:pStyle w:val="PreambelText"/>
        <w:spacing w:before="240" w:after="240"/>
        <w:rPr>
          <w:lang w:val="el" w:eastAsia="el"/>
        </w:rPr>
      </w:pPr>
      <w:r>
        <w:rPr>
          <w:lang w:val="el" w:eastAsia="el"/>
        </w:rPr>
        <w:t xml:space="preserve">6. </w:t>
      </w:r>
      <w:r>
        <w:rPr>
          <w:b/>
          <w:bCs/>
          <w:lang w:val="el" w:eastAsia="el"/>
        </w:rPr>
        <w:t>Το γεγονός ότι, από τις διατάξεις της παρούσας απόφασης, δεν προκαλείται δαπάνη σε βάρος του προϋπολογισμού της Ανεξάρτητης Αρχής Δημοσίων Εσόδων (Α.Α.Δ.Ε).</w:t>
      </w:r>
    </w:p>
    <w:p>
      <w:pPr>
        <w:pStyle w:val="enacting"/>
        <w:spacing w:before="120" w:after="0"/>
        <w:rPr>
          <w:lang w:val="el" w:eastAsia="el"/>
        </w:rPr>
      </w:pPr>
      <w:r>
        <w:rPr>
          <w:b/>
          <w:bCs/>
          <w:lang w:val="el" w:eastAsia="el"/>
        </w:rPr>
        <w:t>Α π ο φ α σ ί ζ ο υ μ ε</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Η υπό στοιχεία ΠΟΛ.1194/2015 απόφαση ΓΓΔΕ «Διαδικασία απαλλαγής από το Φ.Π.Α. εισαγωγής αγαθών που προορίζονται να εξαχθούν ή να παραδοθούν σε υποκείμενο στο Φ.Π.Α. πρόσωπο εγκατεστημένο σε άλλο κράτος μέλος της ΕΕ» τροποποιείται, ως ακολούθως:</w:t>
      </w:r>
    </w:p>
    <w:p>
      <w:pPr>
        <w:pStyle w:val="MainText"/>
        <w:spacing w:before="120" w:after="0"/>
        <w:rPr>
          <w:lang w:val="el" w:eastAsia="el"/>
        </w:rPr>
      </w:pPr>
      <w:r>
        <w:rPr>
          <w:b/>
          <w:bCs/>
          <w:lang w:val="el" w:eastAsia="el"/>
        </w:rPr>
        <w:t>1.</w:t>
      </w:r>
      <w:r>
        <w:rPr>
          <w:lang w:val="el" w:eastAsia="el"/>
        </w:rPr>
        <w:t xml:space="preserve"> </w:t>
      </w:r>
      <w:r>
        <w:rPr>
          <w:b/>
          <w:bCs/>
          <w:lang w:val="el" w:eastAsia="el"/>
        </w:rPr>
        <w:t>Στο άρθρο 1:</w:t>
      </w:r>
    </w:p>
    <w:p>
      <w:pPr>
        <w:pStyle w:val="StructureList1"/>
        <w:spacing w:before="120" w:after="0"/>
        <w:rPr>
          <w:lang w:val="el" w:eastAsia="el"/>
        </w:rPr>
      </w:pPr>
      <w:r>
        <w:rPr>
          <w:lang w:val="el" w:eastAsia="el"/>
        </w:rPr>
        <w:t>α)</w:t>
      </w:r>
      <w:r>
        <w:rPr>
          <w:lang w:val="en" w:eastAsia="en"/>
        </w:rPr>
        <w:tab/>
      </w:r>
      <w:r>
        <w:rPr>
          <w:b/>
          <w:bCs/>
          <w:lang w:val="el" w:eastAsia="el"/>
        </w:rPr>
        <w:t>τροποποιείται ο τίτλος του άρθρου και διαμορφώνεται, ως εξής: «Ορισμοί – Πεδίο εφαρμογής»</w:t>
      </w:r>
    </w:p>
    <w:p>
      <w:pPr>
        <w:spacing w:before="240" w:after="240"/>
        <w:rPr>
          <w:lang w:val="el" w:eastAsia="el"/>
        </w:rPr>
      </w:pPr>
      <w:r>
        <w:rPr>
          <w:b/>
          <w:bCs/>
          <w:lang w:val="el" w:eastAsia="el"/>
        </w:rPr>
        <w:t>και</w:t>
      </w:r>
    </w:p>
    <w:p>
      <w:pPr>
        <w:pStyle w:val="StructureList1"/>
        <w:spacing w:before="120" w:after="0"/>
        <w:rPr>
          <w:lang w:val="el" w:eastAsia="el"/>
        </w:rPr>
      </w:pPr>
      <w:r>
        <w:rPr>
          <w:lang w:val="el" w:eastAsia="el"/>
        </w:rPr>
        <w:t>β)</w:t>
      </w:r>
      <w:r>
        <w:rPr>
          <w:lang w:val="en" w:eastAsia="en"/>
        </w:rPr>
        <w:tab/>
      </w:r>
      <w:r>
        <w:rPr>
          <w:b/>
          <w:bCs/>
          <w:lang w:val="el" w:eastAsia="el"/>
        </w:rPr>
        <w:t>μετά την παρ. 3 προστίθεται παρ. 4, ως εξής:</w:t>
      </w:r>
    </w:p>
    <w:p>
      <w:pPr>
        <w:spacing w:before="240" w:after="240"/>
        <w:rPr>
          <w:lang w:val="el" w:eastAsia="el"/>
        </w:rPr>
      </w:pPr>
      <w:r>
        <w:rPr>
          <w:b/>
          <w:bCs/>
          <w:lang w:val="el" w:eastAsia="el"/>
        </w:rPr>
        <w:t>«4. Αγαθά που κατατάσσονται στα κεφάλαια 42 και 61 έως και 64 του Ενιαίου Δασμολογίου της Ε.Ε. [Καν. (ΕΟΚ) αριθ.2658/1987 του Συμβουλίου της 23</w:t>
      </w:r>
      <w:r>
        <w:rPr>
          <w:b/>
          <w:bCs/>
          <w:sz w:val="30"/>
          <w:szCs w:val="30"/>
          <w:vertAlign w:val="superscript"/>
          <w:lang w:val="el" w:eastAsia="el"/>
        </w:rPr>
        <w:t>ης</w:t>
      </w:r>
      <w:r>
        <w:rPr>
          <w:b/>
          <w:bCs/>
          <w:lang w:val="el" w:eastAsia="el"/>
        </w:rPr>
        <w:t xml:space="preserve"> Ιουλίου 1987 για τη δασμολογική και στατιστική ονοματολογία και το κοινό δασμολόγιο, όπως έχει τροποποιηθεί και ισχύει] εξαιρούνται του πεδίου εφαρμογής της παρούσας.».</w:t>
      </w:r>
    </w:p>
    <w:p>
      <w:pPr>
        <w:pStyle w:val="MainText"/>
        <w:spacing w:before="120" w:after="0"/>
        <w:rPr>
          <w:lang w:val="el" w:eastAsia="el"/>
        </w:rPr>
      </w:pPr>
      <w:r>
        <w:rPr>
          <w:b/>
          <w:bCs/>
          <w:lang w:val="el" w:eastAsia="el"/>
        </w:rPr>
        <w:t>2.</w:t>
      </w:r>
      <w:r>
        <w:rPr>
          <w:lang w:val="el" w:eastAsia="el"/>
        </w:rPr>
        <w:t xml:space="preserve"> </w:t>
      </w:r>
      <w:r>
        <w:rPr>
          <w:b/>
          <w:bCs/>
          <w:lang w:val="el" w:eastAsia="el"/>
        </w:rPr>
        <w:t>Στο άρθρο 5:</w:t>
      </w:r>
    </w:p>
    <w:p>
      <w:pPr>
        <w:pStyle w:val="StructureList1"/>
        <w:spacing w:before="120" w:after="0"/>
        <w:rPr>
          <w:lang w:val="el" w:eastAsia="el"/>
        </w:rPr>
      </w:pPr>
      <w:r>
        <w:rPr>
          <w:lang w:val="el" w:eastAsia="el"/>
        </w:rPr>
        <w:t>α)</w:t>
      </w:r>
      <w:r>
        <w:rPr>
          <w:lang w:val="en" w:eastAsia="en"/>
        </w:rPr>
        <w:tab/>
      </w:r>
      <w:r>
        <w:rPr>
          <w:b/>
          <w:bCs/>
          <w:lang w:val="el" w:eastAsia="el"/>
        </w:rPr>
        <w:t>τροποποιείται ο τίτλος του άρθρου και διαμορφώνεται, ως εξής:</w:t>
      </w:r>
    </w:p>
    <w:p>
      <w:pPr>
        <w:spacing w:before="240" w:after="240"/>
        <w:rPr>
          <w:lang w:val="el" w:eastAsia="el"/>
        </w:rPr>
      </w:pPr>
      <w:r>
        <w:rPr>
          <w:b/>
          <w:bCs/>
          <w:lang w:val="el" w:eastAsia="el"/>
        </w:rPr>
        <w:t>«Εξαιρέσεις από δικαίωμα απαλλαγής - Μέτρα για την πρόληψη και την καταπολέμηση φαινομένων καταστρατήγησης»</w:t>
      </w:r>
    </w:p>
    <w:p>
      <w:pPr>
        <w:spacing w:before="240" w:after="240"/>
        <w:rPr>
          <w:lang w:val="el" w:eastAsia="el"/>
        </w:rPr>
      </w:pPr>
      <w:r>
        <w:rPr>
          <w:b/>
          <w:bCs/>
          <w:lang w:val="el" w:eastAsia="el"/>
        </w:rPr>
        <w:t>και</w:t>
      </w:r>
    </w:p>
    <w:p>
      <w:pPr>
        <w:pStyle w:val="StructureList1"/>
        <w:spacing w:before="120" w:after="0"/>
        <w:rPr>
          <w:lang w:val="el" w:eastAsia="el"/>
        </w:rPr>
      </w:pPr>
      <w:r>
        <w:rPr>
          <w:lang w:val="el" w:eastAsia="el"/>
        </w:rPr>
        <w:t>β)</w:t>
      </w:r>
      <w:r>
        <w:rPr>
          <w:lang w:val="en" w:eastAsia="en"/>
        </w:rPr>
        <w:tab/>
      </w:r>
      <w:r>
        <w:rPr>
          <w:b/>
          <w:bCs/>
          <w:lang w:val="el" w:eastAsia="el"/>
        </w:rPr>
        <w:t>μετά την παρ. 2 προστίθεται παρ. 3, ως εξής:</w:t>
      </w:r>
    </w:p>
    <w:p>
      <w:pPr>
        <w:spacing w:before="240" w:after="240"/>
        <w:rPr>
          <w:lang w:val="el" w:eastAsia="el"/>
        </w:rPr>
      </w:pPr>
      <w:r>
        <w:rPr>
          <w:b/>
          <w:bCs/>
          <w:lang w:val="el" w:eastAsia="el"/>
        </w:rPr>
        <w:t>«3. Σε περιπτώσεις που, κατά τη θέση αγαθών σε ελεύθερη κυκλοφορία, με απόφαση των τελωνειακών αρχών απορρίπτεται η συναλλακτική αξία και προσδιορίζεται αξία εισαγόμενων αγαθών ανώτερη της δηλωθείσας επί των τελωνειακών παραστατικών, δεν επιτρέπεται η εφαρμογή της παρούσας και τα αγαθά τίθενται σε ανάλωση με την καταβολή του αναλογούντος Φ.Π.Α.».</w:t>
      </w:r>
    </w:p>
    <w:p>
      <w:pPr>
        <w:pStyle w:val="Heading6"/>
        <w:spacing w:before="240" w:after="240"/>
        <w:rPr>
          <w:lang w:val="el" w:eastAsia="el"/>
        </w:rPr>
      </w:pPr>
      <w:r>
        <w:rPr>
          <w:rStyle w:val="article-num"/>
          <w:b/>
          <w:bCs/>
          <w:lang w:val="el" w:eastAsia="el"/>
        </w:rPr>
        <w:t>Άρθρο 2</w:t>
      </w:r>
    </w:p>
    <w:p>
      <w:pPr>
        <w:spacing w:before="240" w:after="240"/>
        <w:rPr>
          <w:lang w:val="el" w:eastAsia="el"/>
        </w:rPr>
      </w:pPr>
      <w:r>
        <w:rPr>
          <w:b/>
          <w:bCs/>
          <w:lang w:val="el" w:eastAsia="el"/>
        </w:rPr>
        <w:t>Η παρούσα απόφαση ισχύει εξήντα (60) ημέρες από τη δημοσίευσή της στην Εφημερίδα της Κυβερνήσεως.</w:t>
      </w:r>
    </w:p>
    <w:p>
      <w:pPr>
        <w:spacing w:before="240" w:after="240"/>
        <w:rPr>
          <w:lang w:val="el" w:eastAsia="el"/>
        </w:rPr>
      </w:pPr>
      <w:r>
        <w:rPr>
          <w:b/>
          <w:bCs/>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Ο ΔΙΟΙΚΗΤΗΣ Α.Α.Δ.Ε</w:t>
      </w:r>
    </w:p>
    <w:p>
      <w:pPr>
        <w:spacing w:before="240" w:after="240"/>
        <w:rPr>
          <w:lang w:val="el" w:eastAsia="el"/>
        </w:rPr>
      </w:pPr>
      <w:r>
        <w:rPr>
          <w:b/>
          <w:bCs/>
          <w:lang w:val="el" w:eastAsia="el"/>
        </w:rPr>
        <w:t>Γ. ΠΙΤΣΙΛΗΣ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Α. ΑΠΟΔΕΚΤΕΣ ΠΡΟΣ ΕΝΕΡΓΕΙΑ</w:t>
      </w:r>
    </w:p>
    <w:p>
      <w:pPr>
        <w:spacing w:before="240" w:after="240"/>
        <w:rPr>
          <w:lang w:val="el" w:eastAsia="el"/>
        </w:rPr>
      </w:pPr>
      <w:r>
        <w:rPr>
          <w:lang w:val="el" w:eastAsia="el"/>
        </w:rPr>
        <w:t xml:space="preserve">1. </w:t>
      </w:r>
      <w:r>
        <w:rPr>
          <w:b/>
          <w:bCs/>
          <w:lang w:val="el" w:eastAsia="el"/>
        </w:rPr>
        <w:t>Τελωνεία</w:t>
      </w:r>
    </w:p>
    <w:p>
      <w:pPr>
        <w:spacing w:before="240" w:after="240"/>
        <w:rPr>
          <w:lang w:val="el" w:eastAsia="el"/>
        </w:rPr>
      </w:pPr>
      <w:r>
        <w:rPr>
          <w:lang w:val="el" w:eastAsia="el"/>
        </w:rPr>
        <w:t xml:space="preserve">2. </w:t>
      </w:r>
      <w:r>
        <w:rPr>
          <w:b/>
          <w:bCs/>
          <w:lang w:val="el" w:eastAsia="el"/>
        </w:rPr>
        <w:t>Τελωνειακές Περιφέρειες</w:t>
      </w:r>
    </w:p>
    <w:p>
      <w:pPr>
        <w:spacing w:before="240" w:after="240"/>
        <w:rPr>
          <w:lang w:val="el" w:eastAsia="el"/>
        </w:rPr>
      </w:pPr>
      <w:r>
        <w:rPr>
          <w:lang w:val="el" w:eastAsia="el"/>
        </w:rPr>
        <w:t xml:space="preserve">3. </w:t>
      </w:r>
      <w:r>
        <w:rPr>
          <w:b/>
          <w:bCs/>
          <w:lang w:val="el" w:eastAsia="el"/>
        </w:rPr>
        <w:t>Ελεγκτικές Υπηρεσίες Τελωνείων (ΕΛ.Υ.Τ.)</w:t>
      </w:r>
    </w:p>
    <w:p>
      <w:pPr>
        <w:spacing w:before="240" w:after="240"/>
        <w:rPr>
          <w:lang w:val="el" w:eastAsia="el"/>
        </w:rPr>
      </w:pPr>
      <w:r>
        <w:rPr>
          <w:lang w:val="el" w:eastAsia="el"/>
        </w:rPr>
        <w:t xml:space="preserve">4. </w:t>
      </w:r>
      <w:r>
        <w:rPr>
          <w:b/>
          <w:bCs/>
          <w:lang w:val="el" w:eastAsia="el"/>
        </w:rPr>
        <w:t>Δ/νση Στρατηγικής Τεχνολογιών Πληροφορικής (ΔΙ.Σ.ΤΕ.ΠΛ.) της Γ.Δ.ΗΕΛ.Δ. (για την ενημέρωση της Ηλεκτρονικής Βιβλιοθήκης και του portal της Α.Α.Δ.Ε) (e-mail :</w:t>
      </w:r>
      <w:hyperlink r:id="rId4" w:history="1">
        <w:r>
          <w:rPr>
            <w:rStyle w:val="Hyperlink"/>
            <w:b/>
            <w:bCs/>
            <w:color w:val="0000EE"/>
            <w:u w:color="0000EE"/>
            <w:lang w:val="el" w:eastAsia="el"/>
          </w:rPr>
          <w:t>siteadmin@aade .gr</w:t>
        </w:r>
        <w:r>
          <w:rPr>
            <w:rStyle w:val="Hyperlink"/>
            <w:b/>
            <w:bCs/>
            <w:color w:val="0000EE"/>
            <w:u w:color="0000EE"/>
            <w:lang w:val="el" w:eastAsia="el"/>
          </w:rPr>
          <w:t>)</w:t>
        </w:r>
      </w:hyperlink>
    </w:p>
    <w:p>
      <w:pPr>
        <w:spacing w:before="240" w:after="240"/>
        <w:rPr>
          <w:lang w:val="el" w:eastAsia="el"/>
        </w:rPr>
      </w:pPr>
      <w:r>
        <w:rPr>
          <w:b/>
          <w:bCs/>
          <w:lang w:val="el" w:eastAsia="el"/>
        </w:rPr>
        <w:t xml:space="preserve">5. </w:t>
      </w:r>
      <w:r>
        <w:rPr>
          <w:b/>
          <w:bCs/>
          <w:lang w:val="el" w:eastAsia="el"/>
        </w:rPr>
        <w:t>Εθνικό Τυπογραφείο για δημοσίευση της απόφασης</w:t>
      </w:r>
    </w:p>
    <w:p>
      <w:pPr>
        <w:spacing w:before="240" w:after="240"/>
        <w:rPr>
          <w:lang w:val="el" w:eastAsia="el"/>
        </w:rPr>
      </w:pPr>
      <w:r>
        <w:rPr>
          <w:b/>
          <w:bCs/>
          <w:lang w:val="el" w:eastAsia="el"/>
        </w:rPr>
        <w:t>Β. ΑΠΟΔΕΚΤΕΣ ΠΡΟΣ ΚΟΙΝΟΠΟΙΗΣΗ</w:t>
      </w:r>
    </w:p>
    <w:p>
      <w:pPr>
        <w:spacing w:before="240" w:after="240"/>
        <w:rPr>
          <w:lang w:val="el" w:eastAsia="el"/>
        </w:rPr>
      </w:pPr>
      <w:r>
        <w:rPr>
          <w:b/>
          <w:bCs/>
          <w:lang w:val="el" w:eastAsia="el"/>
        </w:rPr>
        <w:t xml:space="preserve">1. </w:t>
      </w:r>
      <w:r>
        <w:rPr>
          <w:b/>
          <w:bCs/>
          <w:lang w:val="el" w:eastAsia="el"/>
        </w:rPr>
        <w:t>Γραφείο Υπουργού Οικονομικών</w:t>
      </w:r>
    </w:p>
    <w:p>
      <w:pPr>
        <w:spacing w:before="240" w:after="240"/>
        <w:rPr>
          <w:lang w:val="el" w:eastAsia="el"/>
        </w:rPr>
      </w:pPr>
      <w:r>
        <w:rPr>
          <w:b/>
          <w:bCs/>
          <w:lang w:val="el" w:eastAsia="el"/>
        </w:rPr>
        <w:t xml:space="preserve">2. </w:t>
      </w:r>
      <w:r>
        <w:rPr>
          <w:b/>
          <w:bCs/>
          <w:lang w:val="el" w:eastAsia="el"/>
        </w:rPr>
        <w:t>Γραφείο Υφυπουργού Οικονομικών</w:t>
      </w:r>
    </w:p>
    <w:p>
      <w:pPr>
        <w:spacing w:before="240" w:after="240"/>
        <w:rPr>
          <w:lang w:val="el" w:eastAsia="el"/>
        </w:rPr>
      </w:pPr>
      <w:r>
        <w:rPr>
          <w:b/>
          <w:bCs/>
          <w:lang w:val="el" w:eastAsia="el"/>
        </w:rPr>
        <w:t xml:space="preserve">3. </w:t>
      </w:r>
      <w:r>
        <w:rPr>
          <w:b/>
          <w:bCs/>
          <w:lang w:val="el" w:eastAsia="el"/>
        </w:rPr>
        <w:t>Υπηρεσίες Ερευνών και Διασφάλισης Δημοσίων Εσόδων (Υ.Ε.Δ.Δ.Ε.)</w:t>
      </w:r>
    </w:p>
    <w:p>
      <w:pPr>
        <w:spacing w:before="240" w:after="240"/>
        <w:rPr>
          <w:lang w:val="el" w:eastAsia="el"/>
        </w:rPr>
      </w:pPr>
      <w:r>
        <w:rPr>
          <w:b/>
          <w:bCs/>
          <w:lang w:val="el" w:eastAsia="el"/>
        </w:rPr>
        <w:t xml:space="preserve">4. </w:t>
      </w:r>
      <w:r>
        <w:rPr>
          <w:b/>
          <w:bCs/>
          <w:lang w:val="el" w:eastAsia="el"/>
        </w:rPr>
        <w:t>Δ/νση Εσωτερικού Ελέγχου</w:t>
      </w:r>
    </w:p>
    <w:p>
      <w:pPr>
        <w:spacing w:before="240" w:after="240"/>
        <w:rPr>
          <w:lang w:val="el" w:eastAsia="el"/>
        </w:rPr>
      </w:pPr>
      <w:r>
        <w:rPr>
          <w:b/>
          <w:bCs/>
          <w:lang w:val="el" w:eastAsia="el"/>
        </w:rPr>
        <w:t xml:space="preserve">5. </w:t>
      </w:r>
      <w:r>
        <w:rPr>
          <w:b/>
          <w:bCs/>
          <w:lang w:val="el" w:eastAsia="el"/>
        </w:rPr>
        <w:t>Κεντρική Ένωση Επιμελητηρίων (Κ.Ε.Ε.) (με την παράκληση για την ενημέρωση των μελών τους)</w:t>
      </w:r>
    </w:p>
    <w:p>
      <w:pPr>
        <w:spacing w:before="240" w:after="240"/>
        <w:rPr>
          <w:lang w:val="el" w:eastAsia="el"/>
        </w:rPr>
      </w:pPr>
      <w:r>
        <w:rPr>
          <w:b/>
          <w:bCs/>
          <w:lang w:val="el" w:eastAsia="el"/>
        </w:rPr>
        <w:t xml:space="preserve">6. </w:t>
      </w:r>
      <w:r>
        <w:rPr>
          <w:b/>
          <w:bCs/>
          <w:lang w:val="el" w:eastAsia="el"/>
        </w:rPr>
        <w:t>Αποδέκτες Πίνακα Η΄</w:t>
      </w:r>
    </w:p>
    <w:p>
      <w:pPr>
        <w:spacing w:before="240" w:after="240"/>
        <w:rPr>
          <w:lang w:val="el" w:eastAsia="el"/>
        </w:rPr>
      </w:pPr>
      <w:r>
        <w:rPr>
          <w:b/>
          <w:bCs/>
          <w:lang w:val="el" w:eastAsia="el"/>
        </w:rPr>
        <w:t xml:space="preserve">7. </w:t>
      </w:r>
      <w:r>
        <w:rPr>
          <w:b/>
          <w:bCs/>
          <w:lang w:val="el" w:eastAsia="el"/>
        </w:rPr>
        <w:t>Αποδέκτες Πίνακα ΙΒ΄</w:t>
      </w:r>
    </w:p>
    <w:p>
      <w:pPr>
        <w:spacing w:before="240" w:after="240"/>
        <w:rPr>
          <w:lang w:val="el" w:eastAsia="el"/>
        </w:rPr>
      </w:pPr>
      <w:r>
        <w:rPr>
          <w:b/>
          <w:bCs/>
          <w:lang w:val="el" w:eastAsia="el"/>
        </w:rPr>
        <w:t xml:space="preserve">8. </w:t>
      </w:r>
      <w:r>
        <w:rPr>
          <w:b/>
          <w:bCs/>
          <w:lang w:val="el" w:eastAsia="el"/>
        </w:rPr>
        <w:t>Αποδέκτες Πίνακα ΙΣΤ΄</w:t>
      </w:r>
    </w:p>
    <w:p>
      <w:pPr>
        <w:spacing w:before="240" w:after="240"/>
        <w:rPr>
          <w:lang w:val="el" w:eastAsia="el"/>
        </w:rPr>
      </w:pPr>
      <w:r>
        <w:rPr>
          <w:b/>
          <w:bCs/>
          <w:lang w:val="el" w:eastAsia="el"/>
        </w:rPr>
        <w:t xml:space="preserve">9. </w:t>
      </w:r>
      <w:r>
        <w:rPr>
          <w:b/>
          <w:bCs/>
          <w:lang w:val="el" w:eastAsia="el"/>
        </w:rPr>
        <w:t>Αποδέκτες Πίνακα ΚΓ΄</w:t>
      </w:r>
    </w:p>
    <w:p>
      <w:pPr>
        <w:spacing w:before="240" w:after="240"/>
        <w:rPr>
          <w:lang w:val="el" w:eastAsia="el"/>
        </w:rPr>
      </w:pPr>
      <w:r>
        <w:rPr>
          <w:b/>
          <w:bCs/>
          <w:lang w:val="el" w:eastAsia="el"/>
        </w:rPr>
        <w:t xml:space="preserve">10. </w:t>
      </w:r>
      <w:r>
        <w:rPr>
          <w:b/>
          <w:bCs/>
          <w:lang w:val="el" w:eastAsia="el"/>
        </w:rPr>
        <w:t>Ελληνική Στατιστική Αρχή</w:t>
      </w:r>
    </w:p>
    <w:p>
      <w:pPr>
        <w:spacing w:before="240" w:after="240"/>
        <w:rPr>
          <w:lang w:val="el" w:eastAsia="el"/>
        </w:rPr>
      </w:pPr>
      <w:r>
        <w:rPr>
          <w:b/>
          <w:bCs/>
          <w:lang w:val="el" w:eastAsia="el"/>
        </w:rPr>
        <w:t>Γ. ΕΣΩΤΕΡΙΚΗ ΔΙΑΝΟΜΗ</w:t>
      </w:r>
    </w:p>
    <w:p>
      <w:pPr>
        <w:spacing w:before="240" w:after="240"/>
        <w:rPr>
          <w:lang w:val="el" w:eastAsia="el"/>
        </w:rPr>
      </w:pPr>
      <w:r>
        <w:rPr>
          <w:b/>
          <w:bCs/>
          <w:lang w:val="el" w:eastAsia="el"/>
        </w:rPr>
        <w:t xml:space="preserve">1. </w:t>
      </w:r>
      <w:r>
        <w:rPr>
          <w:b/>
          <w:bCs/>
          <w:lang w:val="el" w:eastAsia="el"/>
        </w:rPr>
        <w:t>Γραφείο Διοικητή ΑΑΔΕ κ. Γ. Πιτσιλή</w:t>
      </w:r>
    </w:p>
    <w:p>
      <w:pPr>
        <w:spacing w:before="240" w:after="240"/>
        <w:rPr>
          <w:lang w:val="el" w:eastAsia="el"/>
        </w:rPr>
      </w:pPr>
      <w:r>
        <w:rPr>
          <w:b/>
          <w:bCs/>
          <w:lang w:val="el" w:eastAsia="el"/>
        </w:rPr>
        <w:t xml:space="preserve">2. </w:t>
      </w:r>
      <w:r>
        <w:rPr>
          <w:b/>
          <w:bCs/>
          <w:lang w:val="el" w:eastAsia="el"/>
        </w:rPr>
        <w:t>Αυτοτελές Τμήμα Υποστήριξης Γεν. Δ/νσης Τελωνείων &amp; Ε.Φ.Κ</w:t>
      </w:r>
    </w:p>
    <w:p>
      <w:pPr>
        <w:spacing w:before="240" w:after="240"/>
        <w:rPr>
          <w:lang w:val="el" w:eastAsia="el"/>
        </w:rPr>
      </w:pPr>
      <w:r>
        <w:rPr>
          <w:b/>
          <w:bCs/>
          <w:lang w:val="el" w:eastAsia="el"/>
        </w:rPr>
        <w:t xml:space="preserve">3. </w:t>
      </w:r>
      <w:r>
        <w:rPr>
          <w:b/>
          <w:bCs/>
          <w:lang w:val="el" w:eastAsia="el"/>
        </w:rPr>
        <w:t>Αυτοτελές Τμήμα Υποστήριξης Γεν. Δ/νσης Φορολογίας</w:t>
      </w:r>
    </w:p>
    <w:p>
      <w:pPr>
        <w:spacing w:before="240" w:after="240"/>
        <w:rPr>
          <w:lang w:val="el" w:eastAsia="el"/>
        </w:rPr>
      </w:pPr>
      <w:r>
        <w:rPr>
          <w:b/>
          <w:bCs/>
          <w:lang w:val="el" w:eastAsia="el"/>
        </w:rPr>
        <w:t xml:space="preserve">4. </w:t>
      </w:r>
      <w:r>
        <w:rPr>
          <w:b/>
          <w:bCs/>
          <w:lang w:val="el" w:eastAsia="el"/>
        </w:rPr>
        <w:t>Αυτοτελές Τμήμα Γεν. Δ/νσης Φορολογικών Λειτουργιών</w:t>
      </w:r>
    </w:p>
    <w:p>
      <w:pPr>
        <w:spacing w:before="240" w:after="240"/>
        <w:rPr>
          <w:lang w:val="el" w:eastAsia="el"/>
        </w:rPr>
      </w:pPr>
      <w:r>
        <w:rPr>
          <w:b/>
          <w:bCs/>
          <w:lang w:val="el" w:eastAsia="el"/>
        </w:rPr>
        <w:t xml:space="preserve">5. </w:t>
      </w:r>
      <w:r>
        <w:rPr>
          <w:b/>
          <w:bCs/>
          <w:lang w:val="el" w:eastAsia="el"/>
        </w:rPr>
        <w:t>Γεν. Δ/νση Τελωνείων &amp; ΕΦΚ</w:t>
      </w:r>
    </w:p>
    <w:p>
      <w:pPr>
        <w:pStyle w:val="StructureList1"/>
        <w:spacing w:before="120" w:after="0"/>
        <w:rPr>
          <w:lang w:val="el" w:eastAsia="el"/>
        </w:rPr>
      </w:pPr>
      <w:r>
        <w:rPr>
          <w:b/>
          <w:bCs/>
          <w:lang w:val="el" w:eastAsia="el"/>
        </w:rPr>
        <w:t>-</w:t>
      </w:r>
      <w:r>
        <w:rPr>
          <w:b/>
          <w:bCs/>
          <w:lang w:val="en" w:eastAsia="en"/>
        </w:rPr>
        <w:tab/>
      </w:r>
      <w:r>
        <w:rPr>
          <w:b/>
          <w:bCs/>
          <w:lang w:val="el" w:eastAsia="el"/>
        </w:rPr>
        <w:t>Δ/νση ΕΦΚ και ΦΠΑ</w:t>
      </w:r>
    </w:p>
    <w:p>
      <w:pPr>
        <w:pStyle w:val="StructureList1"/>
        <w:spacing w:before="120" w:after="0"/>
        <w:rPr>
          <w:lang w:val="el" w:eastAsia="el"/>
        </w:rPr>
      </w:pPr>
      <w:r>
        <w:rPr>
          <w:b/>
          <w:bCs/>
          <w:lang w:val="el" w:eastAsia="el"/>
        </w:rPr>
        <w:t>-</w:t>
      </w:r>
      <w:r>
        <w:rPr>
          <w:b/>
          <w:bCs/>
          <w:lang w:val="en" w:eastAsia="en"/>
        </w:rPr>
        <w:tab/>
      </w:r>
      <w:r>
        <w:rPr>
          <w:b/>
          <w:bCs/>
          <w:lang w:val="el" w:eastAsia="el"/>
        </w:rPr>
        <w:t>Δ/νση Τελωνειακών Διαδικασιών</w:t>
      </w:r>
    </w:p>
    <w:p>
      <w:pPr>
        <w:pStyle w:val="StructureList1"/>
        <w:spacing w:before="120" w:after="0"/>
        <w:rPr>
          <w:lang w:val="el" w:eastAsia="el"/>
        </w:rPr>
      </w:pPr>
      <w:r>
        <w:rPr>
          <w:b/>
          <w:bCs/>
          <w:lang w:val="el" w:eastAsia="el"/>
        </w:rPr>
        <w:t>-</w:t>
      </w:r>
      <w:r>
        <w:rPr>
          <w:b/>
          <w:bCs/>
          <w:lang w:val="en" w:eastAsia="en"/>
        </w:rPr>
        <w:tab/>
      </w:r>
      <w:r>
        <w:rPr>
          <w:b/>
          <w:bCs/>
          <w:lang w:val="el" w:eastAsia="el"/>
        </w:rPr>
        <w:t>Δ/νση Στρατηγικής Τελωνειακών Ελέγχων και Παραβάσεων</w:t>
      </w:r>
    </w:p>
    <w:p>
      <w:pPr>
        <w:pStyle w:val="StructureList1"/>
        <w:spacing w:before="120" w:after="0"/>
        <w:rPr>
          <w:lang w:val="el" w:eastAsia="el"/>
        </w:rPr>
      </w:pPr>
      <w:r>
        <w:rPr>
          <w:b/>
          <w:bCs/>
          <w:lang w:val="el" w:eastAsia="el"/>
        </w:rPr>
        <w:t>-</w:t>
      </w:r>
      <w:r>
        <w:rPr>
          <w:b/>
          <w:bCs/>
          <w:lang w:val="en" w:eastAsia="en"/>
        </w:rPr>
        <w:tab/>
      </w:r>
      <w:r>
        <w:rPr>
          <w:b/>
          <w:bCs/>
          <w:lang w:val="el" w:eastAsia="el"/>
        </w:rPr>
        <w:t>Δ/νση Δασμολογικών Θεμάτων, Ειδικών Καθεστώτων και Απαλλαγών</w:t>
      </w:r>
    </w:p>
    <w:p>
      <w:pPr>
        <w:spacing w:before="240" w:after="240"/>
        <w:rPr>
          <w:lang w:val="el" w:eastAsia="el"/>
        </w:rPr>
      </w:pPr>
      <w:r>
        <w:rPr>
          <w:b/>
          <w:bCs/>
          <w:lang w:val="el" w:eastAsia="el"/>
        </w:rPr>
        <w:t xml:space="preserve">6. </w:t>
      </w:r>
      <w:r>
        <w:rPr>
          <w:b/>
          <w:bCs/>
          <w:lang w:val="el" w:eastAsia="el"/>
        </w:rPr>
        <w:t>Γεν. Δ/νση Φορολογίας</w:t>
      </w:r>
    </w:p>
    <w:p>
      <w:pPr>
        <w:pStyle w:val="StructureList1"/>
        <w:spacing w:before="120" w:after="0"/>
        <w:rPr>
          <w:lang w:val="el" w:eastAsia="el"/>
        </w:rPr>
      </w:pPr>
      <w:r>
        <w:rPr>
          <w:b/>
          <w:bCs/>
          <w:lang w:val="el" w:eastAsia="el"/>
        </w:rPr>
        <w:t>-</w:t>
      </w:r>
      <w:r>
        <w:rPr>
          <w:b/>
          <w:bCs/>
          <w:lang w:val="en" w:eastAsia="en"/>
        </w:rPr>
        <w:tab/>
      </w:r>
      <w:r>
        <w:rPr>
          <w:b/>
          <w:bCs/>
          <w:lang w:val="el" w:eastAsia="el"/>
        </w:rPr>
        <w:t>Δ/νση Εφαρμογής Έμμεσης Φορολογίας</w:t>
      </w:r>
    </w:p>
    <w:p>
      <w:pPr>
        <w:spacing w:before="240" w:after="240"/>
        <w:rPr>
          <w:lang w:val="el" w:eastAsia="el"/>
        </w:rPr>
      </w:pPr>
      <w:r>
        <w:rPr>
          <w:b/>
          <w:bCs/>
          <w:lang w:val="el" w:eastAsia="el"/>
        </w:rPr>
        <w:t xml:space="preserve">7. </w:t>
      </w:r>
      <w:r>
        <w:rPr>
          <w:b/>
          <w:bCs/>
          <w:lang w:val="el" w:eastAsia="el"/>
        </w:rPr>
        <w:t>Γεν. Δ/νση Φορολογικών Λειτουργιών</w:t>
      </w:r>
    </w:p>
    <w:p>
      <w:pPr>
        <w:pStyle w:val="StructureList1"/>
        <w:spacing w:before="120" w:after="0"/>
        <w:rPr>
          <w:lang w:val="el" w:eastAsia="el"/>
        </w:rPr>
      </w:pPr>
      <w:r>
        <w:rPr>
          <w:b/>
          <w:bCs/>
          <w:lang w:val="el" w:eastAsia="el"/>
        </w:rPr>
        <w:t>-</w:t>
      </w:r>
      <w:r>
        <w:rPr>
          <w:b/>
          <w:bCs/>
          <w:lang w:val="en" w:eastAsia="en"/>
        </w:rPr>
        <w:tab/>
      </w:r>
      <w:r>
        <w:rPr>
          <w:b/>
          <w:bCs/>
          <w:lang w:val="el" w:eastAsia="el"/>
        </w:rPr>
        <w:t>Δ/νση Επιχειρησιακού Σχεδιασμού Ελέγχων</w:t>
      </w:r>
    </w:p>
    <w:p>
      <w:pPr>
        <w:spacing w:before="240" w:after="240"/>
        <w:rPr>
          <w:lang w:val="el" w:eastAsia="el"/>
        </w:rPr>
      </w:pPr>
      <w:r>
        <w:rPr>
          <w:b/>
          <w:bCs/>
          <w:lang w:val="el" w:eastAsia="el"/>
        </w:rPr>
        <w:t xml:space="preserve">8. </w:t>
      </w:r>
      <w:r>
        <w:rPr>
          <w:b/>
          <w:bCs/>
          <w:lang w:val="el" w:eastAsia="el"/>
        </w:rPr>
        <w:t>Γεν. Δ/νση Ηλεκτρονικής Διακυβέρνησης :</w:t>
      </w:r>
    </w:p>
    <w:p>
      <w:pPr>
        <w:pStyle w:val="StructureList1"/>
        <w:spacing w:before="120" w:after="0"/>
        <w:rPr>
          <w:lang w:val="el" w:eastAsia="el"/>
        </w:rPr>
      </w:pPr>
      <w:r>
        <w:rPr>
          <w:b/>
          <w:bCs/>
          <w:lang w:val="el" w:eastAsia="el"/>
        </w:rPr>
        <w:t>-</w:t>
      </w:r>
      <w:r>
        <w:rPr>
          <w:b/>
          <w:bCs/>
          <w:lang w:val="en" w:eastAsia="en"/>
        </w:rPr>
        <w:tab/>
      </w:r>
      <w:r>
        <w:rPr>
          <w:b/>
          <w:bCs/>
          <w:lang w:val="el" w:eastAsia="el"/>
        </w:rPr>
        <w:t>Δ/νση Επιχειρησιακών Διαδικασιών (ΔΙ.ΕΠΙ.ΔΙ), Υποδιεύθυνση Β : Απαιτήσεων και Ελέγχου Εφαρμογών Τελωνείων</w:t>
      </w:r>
    </w:p>
    <w:p>
      <w:pPr>
        <w:pStyle w:val="StructureList1"/>
        <w:spacing w:before="120" w:after="0"/>
        <w:rPr>
          <w:lang w:val="el" w:eastAsia="el"/>
        </w:rPr>
      </w:pPr>
      <w:r>
        <w:rPr>
          <w:b/>
          <w:bCs/>
          <w:lang w:val="el" w:eastAsia="el"/>
        </w:rPr>
        <w:t>-</w:t>
      </w:r>
      <w:r>
        <w:rPr>
          <w:b/>
          <w:bCs/>
          <w:lang w:val="en" w:eastAsia="en"/>
        </w:rPr>
        <w:tab/>
      </w:r>
      <w:r>
        <w:rPr>
          <w:b/>
          <w:bCs/>
          <w:lang w:val="el" w:eastAsia="el"/>
        </w:rPr>
        <w:t>Δ/νση Ανάπτυξης Τελωνειακών Εφαρμογών (ΔΑΤΕ)</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siteadmin@aade.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