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ΘΕΜΑ : Τροποποίηση της αριθμ. ΠΟΛ.1184/27-09-2018 απόφασης του Διοικητή της Α.Α.Δ.Ε «Διαδικασία απαλλαγής φόρου προστιθεμένης αξίας κατά: α. τη θέση εμπορευμάτων σε ελεύθερη κυκλοφορία με ταυτόχρονη υπαγωγή σε καθεστώς τελωνειακής αποθήκευσης, β. την υπαγωγή εγχώριων εμπορευμάτων σε καθεστώς τελωνειακής αποθήκευσης» (Β’ 4512).</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b/>
          <w:bCs/>
          <w:lang w:val="el" w:eastAsia="el"/>
        </w:rPr>
        <w:t>Έχοντας υπόψη :</w:t>
      </w:r>
    </w:p>
    <w:p>
      <w:pPr>
        <w:pStyle w:val="PreambelText"/>
        <w:spacing w:before="240" w:after="240"/>
        <w:rPr>
          <w:lang w:val="el" w:eastAsia="el"/>
        </w:rPr>
      </w:pPr>
      <w:r>
        <w:rPr>
          <w:lang w:val="el" w:eastAsia="el"/>
        </w:rPr>
        <w:t xml:space="preserve">1. </w:t>
      </w:r>
      <w:r>
        <w:rPr>
          <w:b/>
          <w:bCs/>
          <w:lang w:val="el" w:eastAsia="el"/>
        </w:rPr>
        <w:t>Τις διατάξεις:</w:t>
      </w:r>
    </w:p>
    <w:p>
      <w:pPr>
        <w:pStyle w:val="PreambelText"/>
        <w:spacing w:before="240" w:after="240"/>
        <w:rPr>
          <w:lang w:val="el" w:eastAsia="el"/>
        </w:rPr>
      </w:pPr>
      <w:r>
        <w:rPr>
          <w:b/>
          <w:bCs/>
          <w:lang w:val="el" w:eastAsia="el"/>
        </w:rPr>
        <w:t>α. των άρθρων 1-5, 7-9, 10, 13, 14, 16, 17, 19-22, 24, 25 και ειδικότερα της εξουσιοδοτικής διάταξης της παρ. 2 αυτού, 27, 28, 30, 32, 35, 36, 38 και 60 του Κώδικα Φόρου Προστιθέμενης Αξίας (ν. 2859/2000, Α΄ 248),</w:t>
      </w:r>
    </w:p>
    <w:p>
      <w:pPr>
        <w:pStyle w:val="PreambelText"/>
        <w:spacing w:before="240" w:after="240"/>
        <w:rPr>
          <w:lang w:val="el" w:eastAsia="el"/>
        </w:rPr>
      </w:pPr>
      <w:r>
        <w:rPr>
          <w:b/>
          <w:bCs/>
          <w:lang w:val="el" w:eastAsia="el"/>
        </w:rPr>
        <w:t>β.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αυτού,</w:t>
      </w:r>
    </w:p>
    <w:p>
      <w:pPr>
        <w:pStyle w:val="PreambelText"/>
        <w:spacing w:before="240" w:after="240"/>
        <w:rPr>
          <w:lang w:val="el" w:eastAsia="el"/>
        </w:rPr>
      </w:pPr>
      <w:r>
        <w:rPr>
          <w:b/>
          <w:bCs/>
          <w:lang w:val="el" w:eastAsia="el"/>
        </w:rPr>
        <w:t>γ. του Εθνικού Τελωνειακού Κώδικα (ν. 2960/2001, Α΄ 265) και ιδίως των άρθρων 29, 30, 31 και 33 αυτού,</w:t>
      </w:r>
    </w:p>
    <w:p>
      <w:pPr>
        <w:pStyle w:val="PreambelText"/>
        <w:spacing w:before="240" w:after="240"/>
        <w:rPr>
          <w:lang w:val="el" w:eastAsia="el"/>
        </w:rPr>
      </w:pPr>
      <w:r>
        <w:rPr>
          <w:b/>
          <w:bCs/>
          <w:lang w:val="el" w:eastAsia="el"/>
        </w:rPr>
        <w:t>δ. του Καν. (ΕΕ) αριθ. 952/2013 του Ευρωπαϊκού Κοινοβουλίου και του Συμβουλίου της 09</w:t>
      </w:r>
      <w:r>
        <w:rPr>
          <w:b/>
          <w:bCs/>
          <w:sz w:val="30"/>
          <w:szCs w:val="30"/>
          <w:vertAlign w:val="superscript"/>
          <w:lang w:val="el" w:eastAsia="el"/>
        </w:rPr>
        <w:t xml:space="preserve">ης </w:t>
      </w:r>
      <w:r>
        <w:rPr>
          <w:b/>
          <w:bCs/>
          <w:lang w:val="el" w:eastAsia="el"/>
        </w:rPr>
        <w:t>Οκτωβρίου 2013 για τη θέσπιση του Ενωσιακού Τελωνειακού Κώδικα (L 269),</w:t>
      </w:r>
    </w:p>
    <w:p>
      <w:pPr>
        <w:pStyle w:val="PreambelText"/>
        <w:spacing w:before="240" w:after="240"/>
        <w:rPr>
          <w:lang w:val="el" w:eastAsia="el"/>
        </w:rPr>
      </w:pPr>
      <w:r>
        <w:rPr>
          <w:b/>
          <w:bCs/>
          <w:lang w:val="el" w:eastAsia="el"/>
        </w:rPr>
        <w:t>ε. του κατ’ εξουσιοδότηση Καν. (ΕΕ) αριθ. 2015/2446 της Επιτροπής της 28</w:t>
      </w:r>
      <w:r>
        <w:rPr>
          <w:b/>
          <w:bCs/>
          <w:sz w:val="30"/>
          <w:szCs w:val="30"/>
          <w:vertAlign w:val="superscript"/>
          <w:lang w:val="el" w:eastAsia="el"/>
        </w:rPr>
        <w:t>ης</w:t>
      </w:r>
      <w:r>
        <w:rPr>
          <w:b/>
          <w:bCs/>
          <w:lang w:val="el" w:eastAsia="el"/>
        </w:rPr>
        <w:t xml:space="preserve"> Ιουλίου 2015 για τη συμπλήρωση του Καν. (ΕΕ) αριθ. 952/2013 του Ευρωπαϊκού Κοινοβουλίου και του Συμβουλίου όσον αφορά λεπτομερείς κανόνες σχετικούς με ορισμένες διατάξεις του Ενωσιακού Τελωνειακού Κώδικα (L 343),</w:t>
      </w:r>
    </w:p>
    <w:p>
      <w:pPr>
        <w:pStyle w:val="PreambelText"/>
        <w:spacing w:before="240" w:after="240"/>
        <w:rPr>
          <w:lang w:val="el" w:eastAsia="el"/>
        </w:rPr>
      </w:pPr>
      <w:r>
        <w:rPr>
          <w:b/>
          <w:bCs/>
          <w:lang w:val="el" w:eastAsia="el"/>
        </w:rPr>
        <w:t>στ. του εκτελεστικού Καν. (ΕΕ) αριθ. 2015/2447 της Επιτροπής της 24</w:t>
      </w:r>
      <w:r>
        <w:rPr>
          <w:b/>
          <w:bCs/>
          <w:sz w:val="30"/>
          <w:szCs w:val="30"/>
          <w:vertAlign w:val="superscript"/>
          <w:lang w:val="el" w:eastAsia="el"/>
        </w:rPr>
        <w:t>ης</w:t>
      </w:r>
      <w:r>
        <w:rPr>
          <w:b/>
          <w:bCs/>
          <w:lang w:val="el" w:eastAsia="el"/>
        </w:rPr>
        <w:t xml:space="preserve"> Νοεμβρίου 2015 για τη θέσπιση λεπτομερών κανόνων εφαρμογής ορισμένων διατάξεων του Κανονισμού (ΕΕ) αριθμ 952/2013 του Ευρωπαϊκού Κοινοβουλίου και του Συμβουλίου για τη θέσπιση του Ενωσιακού Τελωνειακού Κώδικα (L 343),</w:t>
      </w:r>
    </w:p>
    <w:p>
      <w:pPr>
        <w:pStyle w:val="PreambelText"/>
        <w:spacing w:before="240" w:after="240"/>
        <w:rPr>
          <w:lang w:val="el" w:eastAsia="el"/>
        </w:rPr>
      </w:pPr>
      <w:r>
        <w:rPr>
          <w:b/>
          <w:bCs/>
          <w:lang w:val="el" w:eastAsia="el"/>
        </w:rPr>
        <w:t xml:space="preserve">ζ. του κατ’ εξουσιοδότηση καν. (ΕΕ) αριθ. 2016/341 της Επιτροπής της 17 </w:t>
      </w:r>
      <w:r>
        <w:rPr>
          <w:b/>
          <w:bCs/>
          <w:sz w:val="30"/>
          <w:szCs w:val="30"/>
          <w:vertAlign w:val="superscript"/>
          <w:lang w:val="el" w:eastAsia="el"/>
        </w:rPr>
        <w:t>ης</w:t>
      </w:r>
      <w:r>
        <w:rPr>
          <w:b/>
          <w:bCs/>
          <w:lang w:val="el" w:eastAsia="el"/>
        </w:rPr>
        <w:t xml:space="preserve"> Δεκεμβρίου 2015 για τη συμπλήρωση του Καν. (ΕΕ) αριθ. 952/2013 του Ευρωπαϊκού Κοινοβουλίου και του Συμβουλίου όσον αφορά μεταβατικούς κανόνες για ορισμένες διατάξεις του Ενωσιακού Τελωνειακού Κώδικα για τις περιπτώσεις που τα σχετικά ηλεκτρονικά συστήματα δεν έχουν τεθεί ακόμα σε λειτουργία και την τροποποίηση του κατ’ εξουσιοδότηση Κανονισμού (ΕΕ) 2446/2015 της Επιτροπής (L 69),</w:t>
      </w:r>
    </w:p>
    <w:p>
      <w:pPr>
        <w:pStyle w:val="PreambelText"/>
        <w:spacing w:before="240" w:after="240"/>
        <w:rPr>
          <w:lang w:val="el" w:eastAsia="el"/>
        </w:rPr>
      </w:pPr>
      <w:r>
        <w:rPr>
          <w:b/>
          <w:bCs/>
          <w:lang w:val="el" w:eastAsia="el"/>
        </w:rPr>
        <w:t>η. του Καν. (ΕΟΚ) αριθ. 2658/1987 του Συμβουλίου της 23</w:t>
      </w:r>
      <w:r>
        <w:rPr>
          <w:b/>
          <w:bCs/>
          <w:sz w:val="30"/>
          <w:szCs w:val="30"/>
          <w:vertAlign w:val="superscript"/>
          <w:lang w:val="el" w:eastAsia="el"/>
        </w:rPr>
        <w:t>ης</w:t>
      </w:r>
      <w:r>
        <w:rPr>
          <w:b/>
          <w:bCs/>
          <w:lang w:val="el" w:eastAsia="el"/>
        </w:rPr>
        <w:t xml:space="preserve"> Ιουλίου 1987 για τη δασμολογική και στατιστική ονοματολογία και το κοινό δασμολόγιο (L 256),</w:t>
      </w:r>
    </w:p>
    <w:p>
      <w:pPr>
        <w:pStyle w:val="PreambelText"/>
        <w:spacing w:before="240" w:after="240"/>
        <w:rPr>
          <w:lang w:val="el" w:eastAsia="el"/>
        </w:rPr>
      </w:pPr>
      <w:r>
        <w:rPr>
          <w:b/>
          <w:bCs/>
          <w:lang w:val="el" w:eastAsia="el"/>
        </w:rPr>
        <w:t>θ. της αριθ. Δ.ΟΡΓ.Α. 1125859 ΕΞ 2020/23-10-2020 απόφασης του Διοικητή της Ανεξάρτητης Αρχής Δημοσίων Εσόδων «Οργανισμός της Ανεξάρτητης Αρχής Δημοσίων Εσόδων» (Β΄4738).</w:t>
      </w:r>
    </w:p>
    <w:p>
      <w:pPr>
        <w:pStyle w:val="PreambelText"/>
        <w:spacing w:before="240" w:after="240"/>
        <w:rPr>
          <w:lang w:val="el" w:eastAsia="el"/>
        </w:rPr>
      </w:pPr>
      <w:r>
        <w:rPr>
          <w:lang w:val="el" w:eastAsia="el"/>
        </w:rPr>
        <w:t xml:space="preserve">2. </w:t>
      </w:r>
      <w:r>
        <w:rPr>
          <w:b/>
          <w:bCs/>
          <w:lang w:val="el" w:eastAsia="el"/>
        </w:rPr>
        <w:t>Την αριθ. Δ6Α 1015213 ΕΞ/28.01.2013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περ. α) της παρ. 3 του άρθρου 41 του ν. 4389/2016 (Α΄ 94).</w:t>
      </w:r>
    </w:p>
    <w:p>
      <w:pPr>
        <w:pStyle w:val="PreambelText"/>
        <w:spacing w:before="240" w:after="240"/>
        <w:rPr>
          <w:lang w:val="el" w:eastAsia="el"/>
        </w:rPr>
      </w:pPr>
      <w:r>
        <w:rPr>
          <w:lang w:val="el" w:eastAsia="el"/>
        </w:rPr>
        <w:t xml:space="preserve">3. </w:t>
      </w:r>
      <w:r>
        <w:rPr>
          <w:b/>
          <w:bCs/>
          <w:lang w:val="el" w:eastAsia="el"/>
        </w:rPr>
        <w:t>Την αριθμ. ΠΟΛ. 1184/27-09-2018 απόφαση του Διοικητή της Α.Α.Δ.Ε «Διαδικασία απαλλαγής φόρου προστιθεμένης αξίας κατά: α. τη θέση εμπορευμάτων σε ελεύθερη κυκλοφορία με ταυτόχρονη υπαγωγή σε καθεστώς τελωνειακής αποθήκευσης, β. την υπαγωγή εγχώριων εμπορευμάτων σε καθεστώς τελωνειακής αποθήκευσης» (Β΄4512).</w:t>
      </w:r>
    </w:p>
    <w:p>
      <w:pPr>
        <w:pStyle w:val="PreambelText"/>
        <w:spacing w:before="240" w:after="240"/>
        <w:rPr>
          <w:lang w:val="el" w:eastAsia="el"/>
        </w:rPr>
      </w:pPr>
      <w:r>
        <w:rPr>
          <w:lang w:val="el" w:eastAsia="el"/>
        </w:rPr>
        <w:t xml:space="preserve">4. </w:t>
      </w:r>
      <w:r>
        <w:rPr>
          <w:b/>
          <w:bCs/>
          <w:lang w:val="el" w:eastAsia="el"/>
        </w:rPr>
        <w:t>Την αριθ.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 10 του άρθρου 41 του ν. 4389/2016 (Α΄ 94) και τις αποφάσεις υπ’ αριθμ. 39/3/30-11-2017 (Υ.Ο.Δ.Δ. 689) του Συμβουλίου Διοίκησης της ΑΑΔΕ και την αριθ. 5294/17.01.2020 (Υ.Ο.Δ.Δ. 27) του Υπουργού Οικονομικών «Ανανέωση θητείας του Διοικητή της Ανεξάρτητης Αρχής Δημοσίων Εσόδων».</w:t>
      </w:r>
    </w:p>
    <w:p>
      <w:pPr>
        <w:pStyle w:val="PreambelText"/>
        <w:spacing w:before="240" w:after="240"/>
        <w:rPr>
          <w:lang w:val="el" w:eastAsia="el"/>
        </w:rPr>
      </w:pPr>
      <w:r>
        <w:rPr>
          <w:lang w:val="el" w:eastAsia="el"/>
        </w:rPr>
        <w:t xml:space="preserve">5. </w:t>
      </w:r>
      <w:r>
        <w:rPr>
          <w:b/>
          <w:bCs/>
          <w:lang w:val="el" w:eastAsia="el"/>
        </w:rPr>
        <w:t>Την ανάγκη τροποποίησης της ανωτέρω ΠΟΛ.1184/2018 απόφασης Διοικητή Α.Α.Δ.Ε, με σκοπό την καταπολέμηση των φαινομένων καταστρατήγησης του εν λόγω καθεστώτος.</w:t>
      </w:r>
    </w:p>
    <w:p>
      <w:pPr>
        <w:pStyle w:val="PreambelText"/>
        <w:spacing w:before="240" w:after="240"/>
        <w:rPr>
          <w:lang w:val="el" w:eastAsia="el"/>
        </w:rPr>
      </w:pPr>
      <w:r>
        <w:rPr>
          <w:lang w:val="el" w:eastAsia="el"/>
        </w:rPr>
        <w:t xml:space="preserve">6.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 π ο φ α σ ί ζ ο υ μ 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Η αριθμ. ΠΟΛ. 1184/2018 απόφαση του Διοικητή της Α.Α.Δ.Ε «Διαδικασία απαλλαγής φόρου προστιθεμένης αξίας κατά: α. τη θέση εμπορευμάτων σε ελεύθερη κυκλοφορία με ταυτόχρονη υπαγωγή σε καθεστώς τελωνειακής αποθήκευσης, β. την υπαγωγή εγχώριων εμπορευμάτων σε καθεστώς τελωνειακής αποθήκευσης» τροποποιείται, ως ακολούθως:</w:t>
      </w:r>
    </w:p>
    <w:p>
      <w:pPr>
        <w:pStyle w:val="MainText"/>
        <w:spacing w:before="120" w:after="0"/>
        <w:rPr>
          <w:lang w:val="el" w:eastAsia="el"/>
        </w:rPr>
      </w:pPr>
      <w:r>
        <w:rPr>
          <w:b/>
          <w:bCs/>
          <w:lang w:val="el" w:eastAsia="el"/>
        </w:rPr>
        <w:t>1.</w:t>
      </w:r>
      <w:r>
        <w:rPr>
          <w:lang w:val="el" w:eastAsia="el"/>
        </w:rPr>
        <w:t xml:space="preserve"> </w:t>
      </w:r>
      <w:r>
        <w:rPr>
          <w:b/>
          <w:bCs/>
          <w:lang w:val="el" w:eastAsia="el"/>
        </w:rPr>
        <w:t>Στην παρ. 2 του άρθρου 1 της αριθμ. ΠΟΛ.1184/2018 απόφασης του Διοικητή της ΑΑΔΕ α) τροποποιείται η περ. β., β) προστίθεται περ. γ. και η παρ. 2, αντικαθίσταται, ως εξής:</w:t>
      </w:r>
    </w:p>
    <w:p>
      <w:pPr>
        <w:spacing w:before="240" w:after="240"/>
        <w:rPr>
          <w:lang w:val="el" w:eastAsia="el"/>
        </w:rPr>
      </w:pPr>
      <w:r>
        <w:rPr>
          <w:b/>
          <w:bCs/>
          <w:lang w:val="el" w:eastAsia="el"/>
        </w:rPr>
        <w:t>«2. Εξαιρούνται του πεδίου εφαρμογής της παρούσας:</w:t>
      </w:r>
    </w:p>
    <w:p>
      <w:pPr>
        <w:spacing w:before="240" w:after="240"/>
        <w:rPr>
          <w:lang w:val="el" w:eastAsia="el"/>
        </w:rPr>
      </w:pPr>
      <w:r>
        <w:rPr>
          <w:b/>
          <w:bCs/>
          <w:lang w:val="el" w:eastAsia="el"/>
        </w:rPr>
        <w:t>α. εμπορεύματα υποκείμενα σε ειδικό φόρο κατανάλωσης, όπως αυτά ορίζονται από τις εκάστοτε ισχύουσες διατάξεις της ενωσιακής και εθνικής νομοθεσίας.</w:t>
      </w:r>
    </w:p>
    <w:p>
      <w:pPr>
        <w:spacing w:before="240" w:after="240"/>
        <w:rPr>
          <w:lang w:val="el" w:eastAsia="el"/>
        </w:rPr>
      </w:pPr>
      <w:r>
        <w:rPr>
          <w:b/>
          <w:bCs/>
          <w:lang w:val="el" w:eastAsia="el"/>
        </w:rPr>
        <w:t>β. εμπορεύματα υποκείμενα σε φόρο κατανάλωσης και οχήματα υποκείμενα σε τέλος ταξινόμησης, κατά τις διατάξεις της εθνικής τελωνειακής νομοθεσίας.</w:t>
      </w:r>
    </w:p>
    <w:p>
      <w:pPr>
        <w:spacing w:before="240" w:after="240"/>
        <w:rPr>
          <w:lang w:val="el" w:eastAsia="el"/>
        </w:rPr>
      </w:pPr>
      <w:r>
        <w:rPr>
          <w:b/>
          <w:bCs/>
          <w:lang w:val="el" w:eastAsia="el"/>
        </w:rPr>
        <w:t>Εμπορεύματα υποκείμενα σε φόρο κατανάλωσης και οχήματα υποκείμενα σε τέλος ταξινόμησης δύναται να υπαχθούν στο καθεστώς τελωνειακής αποθήκευσης της παρούσας, υπό την προϋπόθεση ότι έχει καταβληθεί ο φόρος κατανάλωσης και το τέλος ταξινόμησης, αντίστοιχα.</w:t>
      </w:r>
    </w:p>
    <w:p>
      <w:pPr>
        <w:spacing w:before="240" w:after="240"/>
        <w:rPr>
          <w:lang w:val="el" w:eastAsia="el"/>
        </w:rPr>
      </w:pPr>
      <w:r>
        <w:rPr>
          <w:b/>
          <w:bCs/>
          <w:lang w:val="el" w:eastAsia="el"/>
        </w:rPr>
        <w:t>γ. εμπορεύματα που κατατάσσονται στα κεφάλαια 42 και 61 έως και 64 του Ενιαίου Δασμολογίου της Ε.Ε. [Καν. (ΕΟΚ) αριθ. 2658/1987 του Συμβουλίου της 23</w:t>
      </w:r>
      <w:r>
        <w:rPr>
          <w:b/>
          <w:bCs/>
          <w:sz w:val="30"/>
          <w:szCs w:val="30"/>
          <w:vertAlign w:val="superscript"/>
          <w:lang w:val="el" w:eastAsia="el"/>
        </w:rPr>
        <w:t>ης</w:t>
      </w:r>
      <w:r>
        <w:rPr>
          <w:b/>
          <w:bCs/>
          <w:lang w:val="el" w:eastAsia="el"/>
        </w:rPr>
        <w:t xml:space="preserve"> Ιουλίου 1987 για τη δασμολογική και στατιστική ονοματολογία και το κοινό δασμολόγιο,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w:t>
      </w:r>
      <w:r>
        <w:rPr>
          <w:b/>
          <w:bCs/>
          <w:lang w:val="el" w:eastAsia="el"/>
        </w:rPr>
        <w:t>Τροποποιείται ο τίτλος του Κεφαλαίου ΣΤ΄ και διαμορφώνεται, ως εξής: «ΈΛΕΓΧΟΙ ΚΑΘΕΣΤΩΤΟΣ- ΚΥΡΩΣΕΙΣ – ΜΕΤΡΑ ΚΑΤΑΠΟΛΕΜΗΣΗΣ ΦΑΙΝΟΜΕΝΩΝ ΚΑΤΑΣΤΡΑΤΗΓΗΣΗΣ».</w:t>
      </w:r>
    </w:p>
    <w:p>
      <w:pPr>
        <w:pStyle w:val="MainText"/>
        <w:spacing w:before="120" w:after="0"/>
        <w:rPr>
          <w:lang w:val="el" w:eastAsia="el"/>
        </w:rPr>
      </w:pPr>
      <w:r>
        <w:rPr>
          <w:b/>
          <w:bCs/>
          <w:lang w:val="el" w:eastAsia="el"/>
        </w:rPr>
        <w:t>3.</w:t>
      </w:r>
      <w:r>
        <w:rPr>
          <w:lang w:val="el" w:eastAsia="el"/>
        </w:rPr>
        <w:t xml:space="preserve"> </w:t>
      </w:r>
      <w:r>
        <w:rPr>
          <w:b/>
          <w:bCs/>
          <w:lang w:val="el" w:eastAsia="el"/>
        </w:rPr>
        <w:t>Μετά το άρθρο 28, προστίθεται άρθρο 28α ως εξής:</w:t>
      </w:r>
    </w:p>
    <w:p>
      <w:pPr>
        <w:spacing w:before="240" w:after="240"/>
        <w:rPr>
          <w:lang w:val="el" w:eastAsia="el"/>
        </w:rPr>
      </w:pPr>
      <w:r>
        <w:rPr>
          <w:b/>
          <w:bCs/>
          <w:lang w:val="el" w:eastAsia="el"/>
        </w:rPr>
        <w:t>«Άρθρο 28α</w:t>
      </w:r>
    </w:p>
    <w:p>
      <w:pPr>
        <w:spacing w:before="240" w:after="240"/>
        <w:rPr>
          <w:lang w:val="el" w:eastAsia="el"/>
        </w:rPr>
      </w:pPr>
      <w:r>
        <w:rPr>
          <w:b/>
          <w:bCs/>
          <w:lang w:val="el" w:eastAsia="el"/>
        </w:rPr>
        <w:t>Μέτρα για την πρόληψη και την καταπολέμηση φαινομένων καταστρατήγησης</w:t>
      </w:r>
    </w:p>
    <w:p>
      <w:pPr>
        <w:spacing w:before="240" w:after="240"/>
        <w:rPr>
          <w:lang w:val="el" w:eastAsia="el"/>
        </w:rPr>
      </w:pPr>
      <w:r>
        <w:rPr>
          <w:b/>
          <w:bCs/>
          <w:lang w:val="el" w:eastAsia="el"/>
        </w:rPr>
        <w:t>Σε περιπτώσεις που, κατά τη θέση εμπορευμάτων σε ελεύθερη κυκλοφορία, με απόφαση των τελωνειακών αρχών απορρίπτεται η συναλλακτική αξία και προσδιορίζεται αξία εισαγόμενων εμπορευμάτων ανώτερη της δηλωθείσας επί των τελωνειακών παραστατικών, δεν επιτρέπεται η εφαρμογή της ανωτέρω απαλλακτικής από ΦΠΑ διαδικασίας και τα αγαθά τίθενται σε ανάλωση με την καταβολή του αναλογούντος ΦΠΑ.».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2Έναρξη ισχύος</w:t>
      </w:r>
    </w:p>
    <w:p>
      <w:pPr>
        <w:pStyle w:val="MainText"/>
        <w:spacing w:before="120" w:after="0"/>
        <w:rPr>
          <w:lang w:val="el" w:eastAsia="el"/>
        </w:rPr>
      </w:pPr>
      <w:r>
        <w:rPr>
          <w:b/>
          <w:bCs/>
          <w:lang w:val="el" w:eastAsia="el"/>
        </w:rPr>
        <w:t>1.</w:t>
      </w:r>
      <w:r>
        <w:rPr>
          <w:lang w:val="el" w:eastAsia="el"/>
        </w:rPr>
        <w:t xml:space="preserve"> </w:t>
      </w:r>
      <w:r>
        <w:rPr>
          <w:b/>
          <w:bCs/>
          <w:lang w:val="el" w:eastAsia="el"/>
        </w:rPr>
        <w:t>Η παρούσα απόφαση ισχύει εξήντα (60) ημέρες από τη δημοσίευσή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w:t>
      </w:r>
      <w:r>
        <w:rPr>
          <w:b/>
          <w:bCs/>
          <w:lang w:val="el" w:eastAsia="el"/>
        </w:rPr>
        <w:t>Η παρούσα απόφαση να δημοσιευθεί στην Εφημερίδα της Κυβερνήσεως.</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ΠΡΟΣ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Δ’</w:t>
      </w:r>
    </w:p>
    <w:p>
      <w:pPr>
        <w:pStyle w:val="MainText"/>
        <w:spacing w:before="120" w:after="0"/>
        <w:rPr>
          <w:lang w:val="el" w:eastAsia="el"/>
        </w:rPr>
      </w:pPr>
      <w:r>
        <w:rPr>
          <w:b/>
          <w:bCs/>
          <w:lang w:val="el" w:eastAsia="el"/>
        </w:rPr>
        <w:t>2.</w:t>
      </w:r>
      <w:r>
        <w:rPr>
          <w:lang w:val="el" w:eastAsia="el"/>
        </w:rPr>
        <w:t xml:space="preserve"> </w:t>
      </w:r>
      <w:r>
        <w:rPr>
          <w:b/>
          <w:bCs/>
          <w:lang w:val="el" w:eastAsia="el"/>
        </w:rPr>
        <w:t>Δ/νση Στρατηγικής Τεχνολογιών Πληροφορικής (ΔΙ.Σ.ΤΕ.ΠΛ.) της Γ.Δ.ΗΕΛ.Δ. (για την ενημέρωση της Ηλεκτρονικής Βιβλιοθήκης και του portal της Α.Α.Δ.Ε) (e-mail :</w:t>
      </w:r>
      <w:hyperlink r:id="rId4" w:history="1">
        <w:r>
          <w:rPr>
            <w:rStyle w:val="Hyperlink"/>
            <w:b/>
            <w:bCs/>
            <w:color w:val="0000EE"/>
            <w:u w:color="0000EE"/>
            <w:lang w:val="el" w:eastAsia="el"/>
          </w:rPr>
          <w:t>siteadmin @ aade.gr</w:t>
        </w:r>
        <w:r>
          <w:rPr>
            <w:rStyle w:val="Hyperlink"/>
            <w:b/>
            <w:bCs/>
            <w:color w:val="0000EE"/>
            <w:u w:color="0000EE"/>
            <w:lang w:val="el" w:eastAsia="el"/>
          </w:rPr>
          <w:t>)</w:t>
        </w:r>
      </w:hyperlink>
    </w:p>
    <w:p>
      <w:pPr>
        <w:pStyle w:val="MainText"/>
        <w:spacing w:before="120" w:after="0"/>
        <w:rPr>
          <w:lang w:val="el" w:eastAsia="el"/>
        </w:rPr>
      </w:pPr>
      <w:r>
        <w:rPr>
          <w:b/>
          <w:bCs/>
          <w:lang w:val="el" w:eastAsia="el"/>
        </w:rPr>
        <w:t>3.</w:t>
      </w:r>
      <w:r>
        <w:rPr>
          <w:b/>
          <w:bCs/>
          <w:lang w:val="el" w:eastAsia="el"/>
        </w:rPr>
        <w:t xml:space="preserve"> </w:t>
      </w:r>
      <w:r>
        <w:rPr>
          <w:b/>
          <w:bCs/>
          <w:lang w:val="el" w:eastAsia="el"/>
        </w:rPr>
        <w:t>Δ/νση Επιχειρησιακών Διαδικασιών (ΔΙ.ΕΠΙ.ΔΙ.), Υποδιεύθυνση Β΄: Απαιτήσεων και Ελέγχου Εφαρμογών Τελωνείων (για την ανάρτηση στο portal του ICISnet) (e-mail:</w:t>
      </w:r>
      <w:hyperlink r:id="rId5" w:history="1">
        <w:r>
          <w:rPr>
            <w:rStyle w:val="Hyperlink"/>
            <w:b/>
            <w:bCs/>
            <w:color w:val="0000EE"/>
            <w:u w:color="0000EE"/>
            <w:lang w:val="el" w:eastAsia="el"/>
          </w:rPr>
          <w:t>secr_icis@aade.gr</w:t>
        </w:r>
        <w:r>
          <w:rPr>
            <w:rStyle w:val="Hyperlink"/>
            <w:b/>
            <w:bCs/>
            <w:color w:val="0000EE"/>
            <w:u w:color="0000EE"/>
            <w:lang w:val="el" w:eastAsia="el"/>
          </w:rPr>
          <w:t>)</w:t>
        </w:r>
      </w:hyperlink>
    </w:p>
    <w:p>
      <w:pPr>
        <w:pStyle w:val="MainText"/>
        <w:spacing w:before="120" w:after="0"/>
        <w:rPr>
          <w:lang w:val="el" w:eastAsia="el"/>
        </w:rPr>
      </w:pPr>
      <w:r>
        <w:rPr>
          <w:b/>
          <w:bCs/>
          <w:lang w:val="el" w:eastAsia="el"/>
        </w:rPr>
        <w:t>4.</w:t>
      </w:r>
      <w:r>
        <w:rPr>
          <w:b/>
          <w:bCs/>
          <w:lang w:val="el" w:eastAsia="el"/>
        </w:rPr>
        <w:t xml:space="preserve"> </w:t>
      </w:r>
      <w:r>
        <w:rPr>
          <w:b/>
          <w:bCs/>
          <w:lang w:val="el" w:eastAsia="el"/>
        </w:rPr>
        <w:t>Εθνικό Τυπογραφείο για δημοσίευση της απόφασης</w:t>
      </w:r>
    </w:p>
    <w:p>
      <w:pPr>
        <w:spacing w:before="240" w:after="240"/>
        <w:rPr>
          <w:lang w:val="el" w:eastAsia="el"/>
        </w:rPr>
      </w:pPr>
      <w:r>
        <w:rPr>
          <w:b/>
          <w:bCs/>
          <w:lang w:val="el" w:eastAsia="el"/>
        </w:rPr>
        <w:t>Β. ΑΠΟΔΕΚΤΕΣ ΠΡΟΣ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Υπουργού Οικονομικών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Υφυπουργού Οικονομικών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Υπηρεσίες Ερευνών και Διασφάλισης Δημοσίων Εσόδων (Υ.Ε.Δ.Δ.Ε.)</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Δ/νση Εσωτερικού Ελέγχου</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Κεντρική Ένωση Επιμελητηρίων (Κ.Ε.Ε.) (με την παράκληση για την ενημέρωση των μελών τους)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Αποδέκτες Πίνακα Η΄</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Αποδέκτες Πίνακα ΙΒ΄</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Αποδέκτες Πίνακα ΙΣΤ΄</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Αποδέκτες Πίνακα ΚΓ΄</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Ελληνική Στατιστική Αρχή (ΕΛ.ΣΤΑΤ.)</w:t>
      </w:r>
    </w:p>
    <w:p>
      <w:pPr>
        <w:spacing w:before="240" w:after="240"/>
        <w:rPr>
          <w:lang w:val="el" w:eastAsia="el"/>
        </w:rPr>
      </w:pPr>
      <w:r>
        <w:rPr>
          <w:b/>
          <w:bCs/>
          <w:lang w:val="el" w:eastAsia="el"/>
        </w:rPr>
        <w:t>Γ. 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Διοικητή ΑΑΔΕ κ. Γ. Πιτσιλή</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Αυτοτελές Τμήμα Υποστήριξης Γεν. Δ/νσης Τελωνείων &amp; Ε.Φ.Κ</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Αυτοτελές Τμήμα Υποστήριξης Γεν. Δ/νσης Φορολογίας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Αυτοτελές Τμήμα Υποστήριξης Γεν. Δ/νσης Φορολογικών Λειτουργιών</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Γεν. Δ/νση Τελωνείων &amp; ΕΦΚ :</w:t>
      </w:r>
    </w:p>
    <w:p>
      <w:pPr>
        <w:pStyle w:val="StructureList1"/>
        <w:spacing w:before="120" w:after="0"/>
        <w:rPr>
          <w:lang w:val="el" w:eastAsia="el"/>
        </w:rPr>
      </w:pPr>
      <w:r>
        <w:rPr>
          <w:b/>
          <w:bCs/>
          <w:lang w:val="el" w:eastAsia="el"/>
        </w:rPr>
        <w:t>-</w:t>
      </w:r>
      <w:r>
        <w:rPr>
          <w:b/>
          <w:bCs/>
          <w:lang w:val="en" w:eastAsia="en"/>
        </w:rPr>
        <w:tab/>
      </w:r>
      <w:r>
        <w:rPr>
          <w:b/>
          <w:bCs/>
          <w:lang w:val="el" w:eastAsia="el"/>
        </w:rPr>
        <w:t>Δ/νση ΕΦΚ και ΦΠΑ</w:t>
      </w:r>
    </w:p>
    <w:p>
      <w:pPr>
        <w:pStyle w:val="StructureList1"/>
        <w:spacing w:before="120" w:after="0"/>
        <w:rPr>
          <w:lang w:val="el" w:eastAsia="el"/>
        </w:rPr>
      </w:pPr>
      <w:r>
        <w:rPr>
          <w:b/>
          <w:bCs/>
          <w:lang w:val="el" w:eastAsia="el"/>
        </w:rPr>
        <w:t>-</w:t>
      </w:r>
      <w:r>
        <w:rPr>
          <w:b/>
          <w:bCs/>
          <w:lang w:val="en" w:eastAsia="en"/>
        </w:rPr>
        <w:tab/>
      </w:r>
      <w:r>
        <w:rPr>
          <w:b/>
          <w:bCs/>
          <w:lang w:val="el" w:eastAsia="el"/>
        </w:rPr>
        <w:t>Δ/νση Τελωνειακών Διαδικασιών</w:t>
      </w:r>
    </w:p>
    <w:p>
      <w:pPr>
        <w:pStyle w:val="StructureList1"/>
        <w:spacing w:before="120" w:after="0"/>
        <w:rPr>
          <w:lang w:val="el" w:eastAsia="el"/>
        </w:rPr>
      </w:pPr>
      <w:r>
        <w:rPr>
          <w:b/>
          <w:bCs/>
          <w:lang w:val="el" w:eastAsia="el"/>
        </w:rPr>
        <w:t>-</w:t>
      </w:r>
      <w:r>
        <w:rPr>
          <w:b/>
          <w:bCs/>
          <w:lang w:val="en" w:eastAsia="en"/>
        </w:rPr>
        <w:tab/>
      </w:r>
      <w:r>
        <w:rPr>
          <w:b/>
          <w:bCs/>
          <w:lang w:val="el" w:eastAsia="el"/>
        </w:rPr>
        <w:t>Δ/νση Στρατηγικής Τελωνειακών Ελέγχων και Παραβάσεων</w:t>
      </w:r>
    </w:p>
    <w:p>
      <w:pPr>
        <w:pStyle w:val="StructureList1"/>
        <w:spacing w:before="120" w:after="0"/>
        <w:rPr>
          <w:lang w:val="el" w:eastAsia="el"/>
        </w:rPr>
      </w:pPr>
      <w:r>
        <w:rPr>
          <w:b/>
          <w:bCs/>
          <w:lang w:val="el" w:eastAsia="el"/>
        </w:rPr>
        <w:t>-</w:t>
      </w:r>
      <w:r>
        <w:rPr>
          <w:b/>
          <w:bCs/>
          <w:lang w:val="en" w:eastAsia="en"/>
        </w:rPr>
        <w:tab/>
      </w:r>
      <w:r>
        <w:rPr>
          <w:b/>
          <w:bCs/>
          <w:lang w:val="el" w:eastAsia="el"/>
        </w:rPr>
        <w:t>Δ/νση Δασμολογικών Θεμάτων, Ειδικών Καθεστώτων και Απαλλαγών</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Γεν. Δ/νση Φορολογικής Φορολογίας:</w:t>
      </w:r>
    </w:p>
    <w:p>
      <w:pPr>
        <w:pStyle w:val="StructureList1"/>
        <w:spacing w:before="120" w:after="0"/>
        <w:rPr>
          <w:lang w:val="el" w:eastAsia="el"/>
        </w:rPr>
      </w:pPr>
      <w:r>
        <w:rPr>
          <w:b/>
          <w:bCs/>
          <w:lang w:val="el" w:eastAsia="el"/>
        </w:rPr>
        <w:t>-</w:t>
      </w:r>
      <w:r>
        <w:rPr>
          <w:b/>
          <w:bCs/>
          <w:lang w:val="en" w:eastAsia="en"/>
        </w:rPr>
        <w:tab/>
      </w:r>
      <w:r>
        <w:rPr>
          <w:b/>
          <w:bCs/>
          <w:lang w:val="el" w:eastAsia="el"/>
        </w:rPr>
        <w:t>Δ/νση Εφαρμογής Έμμεσης Φορολογίας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Γεν. Δ/νση Φορολογικών Λειτουργιών</w:t>
      </w:r>
    </w:p>
    <w:p>
      <w:pPr>
        <w:pStyle w:val="StructureList1"/>
        <w:spacing w:before="120" w:after="0"/>
        <w:rPr>
          <w:lang w:val="el" w:eastAsia="el"/>
        </w:rPr>
      </w:pPr>
      <w:r>
        <w:rPr>
          <w:b/>
          <w:bCs/>
          <w:lang w:val="el" w:eastAsia="el"/>
        </w:rPr>
        <w:t>-</w:t>
      </w:r>
      <w:r>
        <w:rPr>
          <w:b/>
          <w:bCs/>
          <w:lang w:val="en" w:eastAsia="en"/>
        </w:rPr>
        <w:tab/>
      </w:r>
      <w:r>
        <w:rPr>
          <w:b/>
          <w:bCs/>
          <w:lang w:val="el" w:eastAsia="el"/>
        </w:rPr>
        <w:t>Δ/νση Επιχειρησιακού Σχεδιασμού Ελέγχων</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Γεν. Δ/νση Ηλεκτρονικής Διακυβέρνησης :</w:t>
      </w:r>
    </w:p>
    <w:p>
      <w:pPr>
        <w:spacing w:before="240" w:after="240"/>
        <w:rPr>
          <w:lang w:val="el" w:eastAsia="el"/>
        </w:rPr>
      </w:pPr>
      <w:r>
        <w:rPr>
          <w:b/>
          <w:bCs/>
          <w:lang w:val="el" w:eastAsia="el"/>
        </w:rPr>
        <w:t>-Δ/νση Επιχειρησιακών Διαδικασιών (ΔΙ.ΕΠΙ.ΔΙ), Υποδιεύθυνση Β΄: Απαιτήσεων και Ελέγχου Εφαρμογών Τελωνείων</w:t>
      </w:r>
    </w:p>
    <w:p>
      <w:pPr>
        <w:spacing w:before="240" w:after="240"/>
        <w:rPr>
          <w:lang w:val="el" w:eastAsia="el"/>
        </w:rPr>
      </w:pPr>
      <w:r>
        <w:rPr>
          <w:b/>
          <w:bCs/>
          <w:lang w:val="el" w:eastAsia="el"/>
        </w:rPr>
        <w:t>-Δ/νση Ανάπτυξης Τελωνειακών Εφαρμογών (ΔΑΤΕ)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iteadmin@aade.gr" TargetMode="External" /><Relationship Id="rId5" Type="http://schemas.openxmlformats.org/officeDocument/2006/relationships/hyperlink" Target="mailto:secr_icis@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