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ΔΙΟΡΘΩΣΗ ΤΟΥ ΚΕΦΑΛΑΙΟΥ ΣΕ ΑΡΙΘΜΟ 42, ΣΤΗΝ ΠΑΡ. 1 ΤΟΥ ΑΡΘΡΟΥ 1</w:t>
      </w:r>
    </w:p>
    <w:p>
      <w:pPr>
        <w:pStyle w:val="Title"/>
        <w:spacing w:before="120" w:after="360"/>
        <w:rPr>
          <w:lang w:val="el" w:eastAsia="el"/>
        </w:rPr>
      </w:pPr>
      <w:r>
        <w:rPr>
          <w:b/>
          <w:bCs/>
          <w:u w:val="single"/>
          <w:lang w:val="el" w:eastAsia="el"/>
        </w:rPr>
        <w:t>ΕΞΑΙΡ. ΕΠΕΙΓΟΝ ΑΝΑΡΤΗΤΕΑ ΣΤΟ ΔΙΑΔΙΚΤΥΟ</w:t>
      </w:r>
    </w:p>
    <w:p>
      <w:pPr>
        <w:pStyle w:val="Title"/>
        <w:spacing w:before="120" w:after="360"/>
        <w:rPr>
          <w:lang w:val="el" w:eastAsia="el"/>
        </w:rPr>
      </w:pPr>
      <w:r>
        <w:rPr>
          <w:b/>
          <w:bCs/>
          <w:lang w:val="el" w:eastAsia="el"/>
        </w:rPr>
        <w:t>ΑΔΑ: Ψ23Η46ΜΠ3Ζ-1Μ9</w:t>
      </w:r>
    </w:p>
    <w:p>
      <w:pPr>
        <w:pStyle w:val="Title"/>
        <w:spacing w:before="120" w:after="360"/>
        <w:rPr>
          <w:lang w:val="el" w:eastAsia="el"/>
        </w:rPr>
      </w:pPr>
      <w:r>
        <w:rPr>
          <w:b/>
          <w:bCs/>
          <w:lang w:val="el" w:eastAsia="el"/>
        </w:rPr>
        <w:t>ΦΕΚ: 3486 B’ 25/5/2023 &amp; 3541 B’ 26/5/2023</w:t>
      </w:r>
    </w:p>
    <w:p>
      <w:pPr>
        <w:pStyle w:val="Title"/>
        <w:spacing w:before="120" w:after="360"/>
        <w:rPr>
          <w:lang w:val="el" w:eastAsia="el"/>
        </w:rPr>
      </w:pPr>
      <w:r>
        <w:rPr>
          <w:b/>
          <w:bCs/>
          <w:lang w:val="el" w:eastAsia="el"/>
        </w:rPr>
        <w:t>(ΔΙΟΡΘΩΣΗ ΣΦΑΛΜΑΤΟΣ) Αθήνα, 22 Μαΐου 2023</w:t>
      </w:r>
    </w:p>
    <w:p>
      <w:pPr>
        <w:pStyle w:val="Title"/>
        <w:spacing w:before="120" w:after="360"/>
        <w:rPr>
          <w:lang w:val="el" w:eastAsia="el"/>
        </w:rPr>
      </w:pPr>
      <w:r>
        <w:rPr>
          <w:b/>
          <w:bCs/>
          <w:lang w:val="el" w:eastAsia="el"/>
        </w:rPr>
        <w:t>Αριθ. Πρωτ.: Α.1076</w:t>
      </w:r>
    </w:p>
    <w:p>
      <w:pPr>
        <w:pStyle w:val="Title"/>
        <w:spacing w:before="120" w:after="360"/>
        <w:rPr>
          <w:lang w:val="el" w:eastAsia="el"/>
        </w:rPr>
      </w:pPr>
      <w:r>
        <w:rPr>
          <w:b/>
          <w:bCs/>
          <w:lang w:val="el" w:eastAsia="el"/>
        </w:rPr>
        <w:t>Καρ. Σερβίας 10</w:t>
      </w:r>
    </w:p>
    <w:p>
      <w:pPr>
        <w:pStyle w:val="Title"/>
        <w:spacing w:before="120" w:after="360"/>
        <w:rPr>
          <w:lang w:val="el" w:eastAsia="el"/>
        </w:rPr>
      </w:pPr>
      <w:r>
        <w:rPr>
          <w:b/>
          <w:bCs/>
          <w:lang w:val="el" w:eastAsia="el"/>
        </w:rPr>
        <w:t>101 84 ΑΘΗΝΑ Χ.Κυρκιντάνου</w:t>
      </w:r>
    </w:p>
    <w:p>
      <w:pPr>
        <w:pStyle w:val="Title"/>
        <w:spacing w:before="120" w:after="360"/>
        <w:rPr>
          <w:lang w:val="el" w:eastAsia="el"/>
        </w:rPr>
      </w:pPr>
      <w:r>
        <w:rPr>
          <w:b/>
          <w:bCs/>
          <w:lang w:val="el" w:eastAsia="el"/>
        </w:rPr>
        <w:t>Γ.Τούντα</w:t>
      </w:r>
    </w:p>
    <w:p>
      <w:pPr>
        <w:pStyle w:val="Title"/>
        <w:spacing w:before="120" w:after="360"/>
        <w:rPr>
          <w:lang w:val="el" w:eastAsia="el"/>
        </w:rPr>
      </w:pPr>
      <w:r>
        <w:rPr>
          <w:b/>
          <w:bCs/>
          <w:lang w:val="el" w:eastAsia="el"/>
        </w:rPr>
        <w:t xml:space="preserve">210 69.87.409, 417 </w:t>
      </w:r>
      <w:hyperlink r:id="rId4" w:history="1">
        <w:r>
          <w:rPr>
            <w:rStyle w:val="Hyperlink"/>
            <w:b/>
            <w:bCs/>
            <w:color w:val="0000EE"/>
            <w:u w:color="0000EE"/>
            <w:lang w:val="el" w:eastAsia="el"/>
          </w:rPr>
          <w:t>vat-customs@aade.gr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ΘΕΜΑ : Τροποποίηση της υπό στοιχεία ΠΟΛ.1006/09-01-2015 απόφασης της Γενικής Γραμματέως Δημοσίων Εσόδων του Υπουργείου Οικονομικών: «Θέση εμπορευμάτων σε ελεύθερη κυκλοφορία με απαλλαγή από Φ.Π.Α. και άμεση αποστολή σε άλλο Κράτος Μέλος της Ε.Ε.» (Β’ 120).</w:t>
      </w:r>
    </w:p>
    <w:p>
      <w:pPr>
        <w:pStyle w:val="enacting"/>
        <w:spacing w:before="120" w:after="0"/>
        <w:rPr>
          <w:lang w:val="el" w:eastAsia="el"/>
        </w:rPr>
      </w:pPr>
      <w:r>
        <w:rPr>
          <w:b/>
          <w:bCs/>
          <w:lang w:val="el" w:eastAsia="el"/>
        </w:rPr>
        <w:t>Ο Δ Ι Ο Ι Κ Η Τ Η Σ Τ Η ΣΑ Ν Ε Ξ Α Ρ Τ Η Τ Η Σ Α Ρ Χ Η Σ Δ Η Μ Ο Σ Ι Ω Ν Ε Σ Ο Δ Ω 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Των άρθρων 2, 3, 4, 5, 7, 10, 17, 20, 23 και ειδικότερα της περ. β) της παρ. 1 και της εξουσιοδοτικής διάταξης της παρ. 3 αυτού, 28, 35, 36, 38, 55 και 60 του Κώδικα ΦΠΑ (ν. 2859/2000, Α’ 248),</w:t>
      </w:r>
    </w:p>
    <w:p>
      <w:pPr>
        <w:pStyle w:val="PreambelText"/>
        <w:spacing w:before="240" w:after="240"/>
        <w:rPr>
          <w:lang w:val="el" w:eastAsia="el"/>
        </w:rPr>
      </w:pPr>
      <w:r>
        <w:rPr>
          <w:b/>
          <w:bCs/>
          <w:lang w:val="el" w:eastAsia="el"/>
        </w:rPr>
        <w:t>β.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γ. του Εθνικού Τελωνειακού Κώδικα (ν. 2960/2001, Α’ 265),</w:t>
      </w:r>
    </w:p>
    <w:p>
      <w:pPr>
        <w:pStyle w:val="PreambelText"/>
        <w:spacing w:before="240" w:after="240"/>
        <w:rPr>
          <w:lang w:val="el" w:eastAsia="el"/>
        </w:rPr>
      </w:pPr>
      <w:r>
        <w:rPr>
          <w:b/>
          <w:bCs/>
          <w:lang w:val="el" w:eastAsia="el"/>
        </w:rPr>
        <w:t>δ. της Οδηγίας αριθ. 2006/112/ΕΚ του Συμβουλίου της 28ης Νοεμβρίου 2006 σχετικά με το κοινό σύστημα του φόρου προστιθέμενης αξίας (L 347) και ιδίως της περ. δ) της παρ. 1 και της παρ. 2 του άρθρου 143,</w:t>
      </w:r>
    </w:p>
    <w:p>
      <w:pPr>
        <w:pStyle w:val="PreambelText"/>
        <w:spacing w:before="240" w:after="240"/>
        <w:rPr>
          <w:lang w:val="el" w:eastAsia="el"/>
        </w:rPr>
      </w:pPr>
      <w:r>
        <w:rPr>
          <w:b/>
          <w:bCs/>
          <w:lang w:val="el" w:eastAsia="el"/>
        </w:rPr>
        <w:t>ε. του Καν. (ΕΕ) αριθ. 952/2013 του Ευρωπαϊκού Κοινοβουλίου και του Συμβουλίου της 09</w:t>
      </w:r>
      <w:r>
        <w:rPr>
          <w:b/>
          <w:bCs/>
          <w:sz w:val="30"/>
          <w:szCs w:val="30"/>
          <w:vertAlign w:val="superscript"/>
          <w:lang w:val="el" w:eastAsia="el"/>
        </w:rPr>
        <w:t>ης</w:t>
      </w:r>
      <w:r>
        <w:rPr>
          <w:b/>
          <w:bCs/>
          <w:lang w:val="el" w:eastAsia="el"/>
        </w:rPr>
        <w:t xml:space="preserve"> Οκτωβρίου 2013 για τη θέσπιση του Ενωσιακού Τελωνειακού Κώδικα (L 269),</w:t>
      </w:r>
    </w:p>
    <w:p>
      <w:pPr>
        <w:pStyle w:val="PreambelText"/>
        <w:spacing w:before="240" w:after="240"/>
        <w:rPr>
          <w:lang w:val="el" w:eastAsia="el"/>
        </w:rPr>
      </w:pPr>
      <w:r>
        <w:rPr>
          <w:b/>
          <w:bCs/>
          <w:lang w:val="el" w:eastAsia="el"/>
        </w:rPr>
        <w:t>στ. του κατ’ εξουσιοδότηση Καν. (ΕΕ) αριθ. 2015/2446 της Επιτροπής της 28</w:t>
      </w:r>
      <w:r>
        <w:rPr>
          <w:b/>
          <w:bCs/>
          <w:sz w:val="30"/>
          <w:szCs w:val="30"/>
          <w:vertAlign w:val="superscript"/>
          <w:lang w:val="el" w:eastAsia="el"/>
        </w:rPr>
        <w:t>ης</w:t>
      </w:r>
      <w:r>
        <w:rPr>
          <w:b/>
          <w:bCs/>
          <w:lang w:val="el" w:eastAsia="el"/>
        </w:rPr>
        <w:t xml:space="preserve"> Ιουλίου 2015 για τη συμπλήρωση του Καν. (ΕΕ) αριθ. 952/2013 του Ευρωπαϊκού Κοινοβουλίου και του Συμβουλίου όσον αφορά λεπτομερείς κανόνες σχετικούς με ορισμένες διατάξεις του Ενωσιακού Τελωνειακού Κώδικα (L 343),</w:t>
      </w:r>
    </w:p>
    <w:p>
      <w:pPr>
        <w:pStyle w:val="PreambelText"/>
        <w:spacing w:before="240" w:after="240"/>
        <w:rPr>
          <w:lang w:val="el" w:eastAsia="el"/>
        </w:rPr>
      </w:pPr>
      <w:r>
        <w:rPr>
          <w:b/>
          <w:bCs/>
          <w:lang w:val="el" w:eastAsia="el"/>
        </w:rPr>
        <w:t>ζ. του εκτελεστικού Καν. (ΕΕ) αριθ. 2015/2447 της Επιτροπής της 24</w:t>
      </w:r>
      <w:r>
        <w:rPr>
          <w:b/>
          <w:bCs/>
          <w:sz w:val="30"/>
          <w:szCs w:val="30"/>
          <w:vertAlign w:val="superscript"/>
          <w:lang w:val="el" w:eastAsia="el"/>
        </w:rPr>
        <w:t>ης</w:t>
      </w:r>
      <w:r>
        <w:rPr>
          <w:b/>
          <w:bCs/>
          <w:lang w:val="el" w:eastAsia="el"/>
        </w:rPr>
        <w:t xml:space="preserve">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w:t>
      </w:r>
    </w:p>
    <w:p>
      <w:pPr>
        <w:pStyle w:val="PreambelText"/>
        <w:spacing w:before="240" w:after="240"/>
        <w:rPr>
          <w:lang w:val="el" w:eastAsia="el"/>
        </w:rPr>
      </w:pPr>
      <w:r>
        <w:rPr>
          <w:b/>
          <w:bCs/>
          <w:lang w:val="el" w:eastAsia="el"/>
        </w:rPr>
        <w:t>η. του κατ’ εξουσιοδότηση Καν. (ΕΕ) αριθ. 2016/341 της Επιτροπής της 17</w:t>
      </w:r>
      <w:r>
        <w:rPr>
          <w:b/>
          <w:bCs/>
          <w:sz w:val="30"/>
          <w:szCs w:val="30"/>
          <w:vertAlign w:val="superscript"/>
          <w:lang w:val="el" w:eastAsia="el"/>
        </w:rPr>
        <w:t>ης</w:t>
      </w:r>
      <w:r>
        <w:rPr>
          <w:b/>
          <w:bCs/>
          <w:lang w:val="el" w:eastAsia="el"/>
        </w:rPr>
        <w:t xml:space="preserve"> Δεκεμβρίου 2015 για τη συμπλήρωση του Καν. (ΕΕ) αριθ.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και την τροποποίηση του κατ’ εξουσιοδότηση Κανονισμού (ΕΕ) 2446/2015 της Επιτροπής (L 69),</w:t>
      </w:r>
    </w:p>
    <w:p>
      <w:pPr>
        <w:pStyle w:val="PreambelText"/>
        <w:spacing w:before="240" w:after="240"/>
        <w:rPr>
          <w:lang w:val="el" w:eastAsia="el"/>
        </w:rPr>
      </w:pPr>
      <w:r>
        <w:rPr>
          <w:b/>
          <w:bCs/>
          <w:lang w:val="el" w:eastAsia="el"/>
        </w:rPr>
        <w:t>θ. του Καν.(ΕΕ) αριθ. 904/2010 του Συμβουλίου της 7</w:t>
      </w:r>
      <w:r>
        <w:rPr>
          <w:b/>
          <w:bCs/>
          <w:sz w:val="30"/>
          <w:szCs w:val="30"/>
          <w:vertAlign w:val="superscript"/>
          <w:lang w:val="el" w:eastAsia="el"/>
        </w:rPr>
        <w:t>ης</w:t>
      </w:r>
      <w:r>
        <w:rPr>
          <w:b/>
          <w:bCs/>
          <w:lang w:val="el" w:eastAsia="el"/>
        </w:rPr>
        <w:t xml:space="preserve"> Οκτωβρίου 2010 για τη διοικητική συνεργασία και την καταπολέμηση της απάτης στον τομέα του φόρου προστιθέμενης αξίας (L 268),</w:t>
      </w:r>
    </w:p>
    <w:p>
      <w:pPr>
        <w:pStyle w:val="PreambelText"/>
        <w:spacing w:before="240" w:after="240"/>
        <w:rPr>
          <w:lang w:val="el" w:eastAsia="el"/>
        </w:rPr>
      </w:pPr>
      <w:r>
        <w:rPr>
          <w:b/>
          <w:bCs/>
          <w:lang w:val="el" w:eastAsia="el"/>
        </w:rPr>
        <w:t>ι. του Καν. (ΕΟΚ) αριθ. 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(L 256),</w:t>
      </w:r>
    </w:p>
    <w:p>
      <w:pPr>
        <w:pStyle w:val="PreambelText"/>
        <w:spacing w:before="240" w:after="240"/>
        <w:rPr>
          <w:lang w:val="el" w:eastAsia="el"/>
        </w:rPr>
      </w:pPr>
      <w:r>
        <w:rPr>
          <w:b/>
          <w:bCs/>
          <w:lang w:val="el" w:eastAsia="el"/>
        </w:rPr>
        <w:t>ια. της αριθ. 1111374/9160/2152/0014 /26.08.1993 (ΠΟΛ. 1281) απόφασης του Υφυπουργού Οικονομικών «Όροι, προϋποθέσεις και διαδικασία ορισμού φορολογικού αντιπροσώπου από υποκείμενους εγκατεστημένους εκτός Ελλάδος, υποχρεώσεις και δικαιώματα αυτών» (Β΄700) και ιδίως της παρ. 3 του άρθρου 7,</w:t>
      </w:r>
    </w:p>
    <w:p>
      <w:pPr>
        <w:pStyle w:val="PreambelText"/>
        <w:spacing w:before="240" w:after="240"/>
        <w:rPr>
          <w:lang w:val="el" w:eastAsia="el"/>
        </w:rPr>
      </w:pPr>
      <w:r>
        <w:rPr>
          <w:b/>
          <w:bCs/>
          <w:lang w:val="el" w:eastAsia="el"/>
        </w:rPr>
        <w:t>ιβ. 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(Β’ 4738).</w:t>
      </w:r>
    </w:p>
    <w:p>
      <w:pPr>
        <w:pStyle w:val="PreambelText"/>
        <w:spacing w:before="240" w:after="240"/>
        <w:rPr>
          <w:lang w:val="el" w:eastAsia="el"/>
        </w:rPr>
      </w:pPr>
      <w:r>
        <w:rPr>
          <w:b/>
          <w:bCs/>
          <w:lang w:val="el" w:eastAsia="el"/>
        </w:rPr>
        <w:t xml:space="preserve">2. </w:t>
      </w:r>
      <w:r>
        <w:rPr>
          <w:b/>
          <w:bCs/>
          <w:lang w:val="el" w:eastAsia="el"/>
        </w:rPr>
        <w:t>Tην υπό στοιχεία Δ6Α 1015213 ΕΞ/28.01.2013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Διόρθωση Σφάλματος Β’ 372),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b/>
          <w:bCs/>
          <w:lang w:val="el" w:eastAsia="el"/>
        </w:rPr>
        <w:t xml:space="preserve">3. </w:t>
      </w:r>
      <w:r>
        <w:rPr>
          <w:b/>
          <w:bCs/>
          <w:lang w:val="el" w:eastAsia="el"/>
        </w:rPr>
        <w:t>Την υπό στοιχεία ΠΟΛ.1006/09-01-2015 απόφαση της Γενικής Γραμματέως Δημοσίων Εσόδων του Υπουργείου Οικονομικών: «Θέση εμπορευμάτων σε ελεύθερη κυκλοφορία με απαλλαγή από Φ.Π.Α. και άμεση αποστολή σε άλλο Κράτος Μέλος της Ε.Ε.» (Β’ 120).</w:t>
      </w:r>
    </w:p>
    <w:p>
      <w:pPr>
        <w:pStyle w:val="PreambelText"/>
        <w:spacing w:before="240" w:after="240"/>
        <w:rPr>
          <w:lang w:val="el" w:eastAsia="el"/>
        </w:rPr>
      </w:pPr>
      <w:r>
        <w:rPr>
          <w:b/>
          <w:bCs/>
          <w:lang w:val="el" w:eastAsia="el"/>
        </w:rPr>
        <w:t xml:space="preserve">4. </w:t>
      </w:r>
      <w:r>
        <w:rPr>
          <w:b/>
          <w:bCs/>
          <w:lang w:val="el" w:eastAsia="el"/>
        </w:rPr>
        <w:t>Την υπ’ αρ. 1 της 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την υπ’ αρ. 39/3/30-11-2017 (Υ.Ο.Δ.Δ. 689) απόφαση του Συμβουλίου Διοίκησης της ΑΑΔΕ και την υπ’ αρ. 5294/17.01.2020 απόφαση του Υπουργού Οικονομικών με θέμα «Ανανέωση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5. </w:t>
      </w:r>
      <w:r>
        <w:rPr>
          <w:b/>
          <w:bCs/>
          <w:lang w:val="el" w:eastAsia="el"/>
        </w:rPr>
        <w:t>Την ανάγκη τροποποίησης της ανωτέρω υπό στοιχεία ΠΟΛ.1006/2015 απόφασης Γ.Γ.Δ.Ε., με σκοπό την καταπολέμηση φαινομένων καταστρατήγησης του εν λόγω καθεστώτος.</w:t>
      </w:r>
    </w:p>
    <w:p>
      <w:pPr>
        <w:pStyle w:val="PreambelText"/>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υπό στοιχεία ΠΟΛ.1006/2015 απόφαση της Γ.Γ.Δ.Ε. του Υπουργείου Οικονομικών με θέμα «Θέση εμπορευμάτων σε ελεύθερη κυκλοφορία με απαλλαγή από Φ.Π.Α. και άμεση αποστολή σε άλλο Κράτος Μέλος της Ε.Ε.» τροποποιείται,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τελευταίο εδάφιο της παρ. 1 του άρθρου 2 «Όροι και προϋποθέσεις θέσης εμπορευμάτων σε ελεύθερη κυκλοφορία με απαλλαγή από ΦΠΑ και άμεση αποστολή σε άλλο Κράτος Μέλος της Ε.Ε.» τροποποιείται, ως εξής:</w:t>
      </w:r>
    </w:p>
    <w:p>
      <w:pPr>
        <w:spacing w:before="240" w:after="240"/>
        <w:rPr>
          <w:lang w:val="el" w:eastAsia="el"/>
        </w:rPr>
      </w:pPr>
      <w:r>
        <w:rPr>
          <w:b/>
          <w:bCs/>
          <w:lang w:val="el" w:eastAsia="el"/>
        </w:rPr>
        <w:t>«Εξαιρούνται της ανωτέρω διαδικασίας τα προϊόντα που υπόκεινται σε Ειδικό Φόρο Κατανάλωσης (Ε.Φ.Κ.), σύμφωνα με το ν. 2960/2001, καθώς και τα αγαθά που κατατάσσονται στα κεφάλαια 42 και 61 έως και 64 του Ενιαίου Δασμολογίου της Ε.Ε. [Καν. (ΕΟΚ) αριθ. 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όπως έχει τροποποιηθεί και ισχύει].».</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Στo άρθρο 6α «Μέτρα για την πρόληψη και την καταπολέμηση φαινομένων καταστρατήγησης»:</w:t>
      </w:r>
    </w:p>
    <w:p>
      <w:pPr>
        <w:pStyle w:val="StructureList1"/>
        <w:spacing w:before="120" w:after="0"/>
        <w:rPr>
          <w:lang w:val="el" w:eastAsia="el"/>
        </w:rPr>
      </w:pPr>
      <w:r>
        <w:rPr>
          <w:b/>
          <w:bCs/>
          <w:lang w:val="el" w:eastAsia="el"/>
        </w:rPr>
        <w:t>α)</w:t>
      </w:r>
      <w:r>
        <w:rPr>
          <w:b/>
          <w:bCs/>
          <w:lang w:val="en" w:eastAsia="en"/>
        </w:rPr>
        <w:tab/>
      </w:r>
      <w:r>
        <w:rPr>
          <w:b/>
          <w:bCs/>
          <w:lang w:val="el" w:eastAsia="el"/>
        </w:rPr>
        <w:t>αναριθμείται στο ορθό, ως παρ. 3, η παράγραφος που έπεται της παρ. 2, λόγω εσφαλμένης αρίθμησής της, ως παρ. 2, η οποία μετά την αναρίθμηση έχει, ως εξής:</w:t>
      </w:r>
    </w:p>
    <w:p>
      <w:pPr>
        <w:spacing w:before="240" w:after="240"/>
        <w:rPr>
          <w:lang w:val="el" w:eastAsia="el"/>
        </w:rPr>
      </w:pPr>
      <w:r>
        <w:rPr>
          <w:b/>
          <w:bCs/>
          <w:lang w:val="el" w:eastAsia="el"/>
        </w:rPr>
        <w:t xml:space="preserve">«3 </w:t>
      </w:r>
      <w:r>
        <w:rPr>
          <w:b/>
          <w:bCs/>
          <w:lang w:val="el" w:eastAsia="el"/>
        </w:rPr>
        <w:t>. Οι πληροφορίες που διαθέτουν οι τελωνειακές αρχές για τη λήψη των μέτρων πρόληψης και καταπολέμησης φαινομένων καταστρατήγησης κατά τις ανωτέρω παραγράφους του παρόντος άρθρου προέρχονται από αποτελέσματα διοικητικής συνδρομής μεταξύ των Κρατών Μελών ή από συστήματα / δίκτυα ανταλλαγής δεδομένων μεταξύ των Κρατών Μελών.»,</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ανωτέρω ορθώς αναριθμημένη παρ.3, προστίθεται παρ. 4, ως εξής:</w:t>
      </w:r>
    </w:p>
    <w:p>
      <w:pPr>
        <w:spacing w:before="240" w:after="240"/>
        <w:rPr>
          <w:lang w:val="el" w:eastAsia="el"/>
        </w:rPr>
      </w:pPr>
      <w:r>
        <w:rPr>
          <w:b/>
          <w:bCs/>
          <w:lang w:val="el" w:eastAsia="el"/>
        </w:rPr>
        <w:t xml:space="preserve">«4 </w:t>
      </w:r>
      <w:r>
        <w:rPr>
          <w:b/>
          <w:bCs/>
          <w:lang w:val="el" w:eastAsia="el"/>
        </w:rPr>
        <w:t>. Σε περιπτώσεις που, κατά τη θέση εμπορευμάτων σε ελεύθερη κυκλοφορία, με απόφαση των τελωνειακών αρχών, απορρίπτεται η συναλλακτική αξία και προσδιορίζεται αξία εισαγόμενων εμπορευμάτων ανώτερη της δηλωθείσας επί των τελωνειακών παραστατικών, δεν επιτρέπεται η εφαρμογή της ανωτέρω απαλλακτικής από τον ΦΠΑ διαδικασίας και τα αγαθά τίθενται σε ανάλωση, με την καταβολή του αναλογούντος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b/>
          <w:bCs/>
          <w:lang w:val="el" w:eastAsia="el"/>
        </w:rPr>
        <w:t>Η παρούσα απόφαση ισχύει εξήντα (60) ημέρες από τη δημοσίευσή της στην Εφημερίδα της Κυβερνήσεως.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6" w:history="1">
        <w:r>
          <w:rPr>
            <w:rStyle w:val="Hyperlink"/>
            <w:b/>
            <w:bCs/>
            <w:color w:val="0000EE"/>
            <w:u w:color="0000EE"/>
            <w:lang w:val="el" w:eastAsia="el"/>
          </w:rPr>
          <w:t>siteadmin@aade.gr</w:t>
        </w:r>
        <w:r>
          <w:rPr>
            <w:rStyle w:val="Hyperlink"/>
            <w:b/>
            <w:bCs/>
            <w:color w:val="0000EE"/>
            <w:u w:color="0000EE"/>
            <w:lang w:val="el" w:eastAsia="el"/>
          </w:rPr>
          <w:t>)</w:t>
        </w:r>
      </w:hyperlink>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b/>
          <w:bCs/>
          <w:lang w:val="el" w:eastAsia="el"/>
        </w:rPr>
        <w:t>(e-mail:</w:t>
      </w:r>
      <w:hyperlink r:id="rId7" w:history="1">
        <w:r>
          <w:rPr>
            <w:rStyle w:val="Hyperlink"/>
            <w:b/>
            <w:bCs/>
            <w:color w:val="0000EE"/>
            <w:u w:color="0000EE"/>
            <w:lang w:val="el" w:eastAsia="el"/>
          </w:rPr>
          <w:t>secr_icis@aade.gr</w:t>
        </w:r>
        <w:r>
          <w:rPr>
            <w:rStyle w:val="Hyperlink"/>
            <w:b/>
            <w:bCs/>
            <w:color w:val="0000EE"/>
            <w:u w:color="0000EE"/>
            <w:lang w:val="el" w:eastAsia="el"/>
          </w:rPr>
          <w:t>)</w:t>
        </w:r>
      </w:hyperlink>
    </w:p>
    <w:p>
      <w:pPr>
        <w:pStyle w:val="MainText"/>
        <w:spacing w:before="120" w:after="0"/>
        <w:rPr>
          <w:lang w:val="el" w:eastAsia="el"/>
        </w:rPr>
      </w:pPr>
      <w:r>
        <w:rPr>
          <w:b/>
          <w:bCs/>
          <w:lang w:val="el" w:eastAsia="el"/>
        </w:rPr>
        <w:t>4.</w:t>
      </w:r>
      <w:r>
        <w:rPr>
          <w:b/>
          <w:bCs/>
          <w:lang w:val="el" w:eastAsia="el"/>
        </w:rPr>
        <w:t xml:space="preserve"> </w:t>
      </w:r>
      <w:r>
        <w:rPr>
          <w:b/>
          <w:bCs/>
          <w:lang w:val="el" w:eastAsia="el"/>
        </w:rPr>
        <w:t>Εθνικό Τυπογραφείο για δημοσίευση της απόφασης</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Αποδέκτης Πίνακα ΙΒ’</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Αποδέκτες Πίνακα ΙΣΤ’</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Αποδέκτες Πίνακα ΚΓ’</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 κ. Γ. Πιτσιλή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Αυτοτελές Τμήμα Υποστήριξης Γεν. Δ/νσης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Υποστήριξης Γεν. Δ/νσης Φορολογικών Λειτουργιών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Γεν. Δ/νση Τελωνείων &amp; ΕΦΚ :</w:t>
      </w:r>
    </w:p>
    <w:p>
      <w:pPr>
        <w:spacing w:before="240" w:after="240"/>
        <w:rPr>
          <w:lang w:val="el" w:eastAsia="el"/>
        </w:rPr>
      </w:pPr>
      <w:r>
        <w:rPr>
          <w:b/>
          <w:bCs/>
          <w:lang w:val="el" w:eastAsia="el"/>
        </w:rPr>
        <w:t>Δ/νση ΕΦΚ και ΦΠΑ</w:t>
      </w:r>
    </w:p>
    <w:p>
      <w:pPr>
        <w:spacing w:before="240" w:after="240"/>
        <w:rPr>
          <w:lang w:val="el" w:eastAsia="el"/>
        </w:rPr>
      </w:pPr>
      <w:r>
        <w:rPr>
          <w:b/>
          <w:bCs/>
          <w:lang w:val="el" w:eastAsia="el"/>
        </w:rPr>
        <w:t>Δ/νση Τελωνειακών Διαδικασιών</w:t>
      </w:r>
    </w:p>
    <w:p>
      <w:pPr>
        <w:spacing w:before="240" w:after="240"/>
        <w:rPr>
          <w:lang w:val="el" w:eastAsia="el"/>
        </w:rPr>
      </w:pPr>
      <w:r>
        <w:rPr>
          <w:b/>
          <w:bCs/>
          <w:lang w:val="el" w:eastAsia="el"/>
        </w:rPr>
        <w:t>Δ/νση Στρατηγικής Τελωνειακών Ελέγχων και Παραβάσεων</w:t>
      </w:r>
    </w:p>
    <w:p>
      <w:pPr>
        <w:spacing w:before="240" w:after="240"/>
        <w:rPr>
          <w:lang w:val="el" w:eastAsia="el"/>
        </w:rPr>
      </w:pP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Φορολογικών Λειτουργιών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Επιχειρησιακού Σχεδιασμού Ελέγχων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Γεν. Δ/νση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