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ΦΟΡΟΛΟΓΙΑΣ ΔΙΕΥΘΥΝΣΗ ΕΦΑΡΜΟΓΗΣ ΦΟΡΟΛΟΓΙΑΣ ΚΕΦΑΛΑΙΟΥ &amp; ΠΕΡΙΟΥΣΙΟΛΟΓΙΟΥ ΤΜΗΜΑ Α΄</w:t>
      </w:r>
    </w:p>
    <w:p>
      <w:pPr>
        <w:pStyle w:val="PreambelText"/>
        <w:spacing w:before="240" w:after="240"/>
        <w:rPr>
          <w:lang w:val="el" w:eastAsia="el"/>
        </w:rPr>
      </w:pPr>
      <w:r>
        <w:rPr>
          <w:b/>
          <w:bCs/>
          <w:lang w:val="el" w:eastAsia="el"/>
        </w:rPr>
        <w:t>Ταχ. δ/νση: Χανδρή 1 &amp; Θεσσαλονίκης</w:t>
      </w:r>
    </w:p>
    <w:p>
      <w:pPr>
        <w:pStyle w:val="PreambelText"/>
        <w:spacing w:before="240" w:after="240"/>
        <w:rPr>
          <w:lang w:val="el" w:eastAsia="el"/>
        </w:rPr>
      </w:pPr>
      <w:r>
        <w:rPr>
          <w:b/>
          <w:bCs/>
          <w:lang w:val="el" w:eastAsia="el"/>
        </w:rPr>
        <w:t>Ταχ. κώδικας: 183 46 – Μοσχάτο</w:t>
      </w:r>
    </w:p>
    <w:p>
      <w:pPr>
        <w:pStyle w:val="PreambelText"/>
        <w:spacing w:before="240" w:after="240"/>
        <w:rPr>
          <w:lang w:val="el" w:eastAsia="el"/>
        </w:rPr>
      </w:pPr>
      <w:r>
        <w:rPr>
          <w:b/>
          <w:bCs/>
          <w:lang w:val="el" w:eastAsia="el"/>
        </w:rPr>
        <w:t>Τηλέφωνο: 2104802164</w:t>
      </w:r>
    </w:p>
    <w:p>
      <w:pPr>
        <w:pStyle w:val="PreambelText"/>
        <w:spacing w:before="240" w:after="240"/>
        <w:rPr>
          <w:lang w:val="el" w:eastAsia="el"/>
        </w:rPr>
      </w:pPr>
      <w:r>
        <w:rPr>
          <w:b/>
          <w:bCs/>
          <w:lang w:val="el" w:eastAsia="el"/>
        </w:rPr>
        <w:t xml:space="preserve">Url: </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pStyle w:val="PreambelText"/>
        <w:spacing w:before="240" w:after="240"/>
        <w:rPr>
          <w:lang w:val="el" w:eastAsia="el"/>
        </w:rPr>
      </w:pPr>
      <w:r>
        <w:rPr>
          <w:lang w:val="el" w:eastAsia="el"/>
        </w:rPr>
        <w:t xml:space="preserve">2. </w:t>
      </w:r>
      <w:r>
        <w:rPr>
          <w:b/>
          <w:bCs/>
          <w:lang w:val="el" w:eastAsia="el"/>
        </w:rPr>
        <w:t>ΔΙΕΘΥΝΣΗ ΕΠΙΧΕΙΡΗΣΙΑΚΩΝ ΔΙΑΔΙΚΑΣΙΩΝ</w:t>
      </w:r>
    </w:p>
    <w:p>
      <w:pPr>
        <w:pStyle w:val="PreambelText"/>
        <w:spacing w:before="240" w:after="240"/>
        <w:rPr>
          <w:lang w:val="el" w:eastAsia="el"/>
        </w:rPr>
      </w:pPr>
      <w:r>
        <w:rPr>
          <w:b/>
          <w:bCs/>
          <w:lang w:val="el" w:eastAsia="el"/>
        </w:rPr>
        <w:t>Ταχ. δ/νση: Πειραιώς 72</w:t>
      </w:r>
    </w:p>
    <w:p>
      <w:pPr>
        <w:pStyle w:val="PreambelText"/>
        <w:spacing w:before="240" w:after="240"/>
        <w:rPr>
          <w:lang w:val="el" w:eastAsia="el"/>
        </w:rPr>
      </w:pPr>
      <w:r>
        <w:rPr>
          <w:b/>
          <w:bCs/>
          <w:lang w:val="el" w:eastAsia="el"/>
        </w:rPr>
        <w:t>Ταχ. κώδικας: 183 46 – Μοσχάτο</w:t>
      </w:r>
    </w:p>
    <w:p>
      <w:pPr>
        <w:pStyle w:val="PreambelText"/>
        <w:spacing w:before="240" w:after="240"/>
        <w:rPr>
          <w:lang w:val="el" w:eastAsia="el"/>
        </w:rPr>
      </w:pPr>
      <w:r>
        <w:rPr>
          <w:b/>
          <w:bCs/>
          <w:lang w:val="el" w:eastAsia="el"/>
        </w:rPr>
        <w:t>ΘΕΜΑ: Παράταση προθεσμίας υποβολής δηλώσεων στοιχείων ακινήτων (Ε9) έτους 2023</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ν.2020/1992 «Διαρρυθμίσεις στον ενιαίο ειδικό φόρο κατανάλωσης των πετρελαιοειδών προϊόντων και άλλες διατάξεις.» (Α΄ 34),</w:t>
      </w:r>
    </w:p>
    <w:p>
      <w:pPr>
        <w:pStyle w:val="StructureList1"/>
        <w:spacing w:before="120" w:after="0"/>
        <w:rPr>
          <w:lang w:val="el" w:eastAsia="el"/>
        </w:rPr>
      </w:pPr>
      <w:r>
        <w:rPr>
          <w:lang w:val="el" w:eastAsia="el"/>
        </w:rPr>
        <w:t>β)</w:t>
      </w:r>
      <w:r>
        <w:rPr>
          <w:lang w:val="en" w:eastAsia="en"/>
        </w:rPr>
        <w:tab/>
      </w:r>
      <w:r>
        <w:rPr>
          <w:b/>
          <w:bCs/>
          <w:lang w:val="el" w:eastAsia="el"/>
        </w:rPr>
        <w:t>της περ. ε της παρ. 3 του άρθρου 6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Κώδικα Φορολογικής Διαδικασίας (ν.4987/2022 , Α΄206) και</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OPΓ. A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2013/28.01.2013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ν.4389/2016.</w:t>
      </w:r>
    </w:p>
    <w:p>
      <w:pPr>
        <w:pStyle w:val="PreambelText"/>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παράτασης της προθεσμίας υποβολής δηλώσεων στοιχείων ακινήτων (Ε9) έτους 2023 για τη διευκόλυνση των φορολογούμενων και την ομαλή ολοκλήρωση της διαδικασίας υποβολής των δηλώσεων.</w:t>
      </w:r>
    </w:p>
    <w:p>
      <w:pPr>
        <w:pStyle w:val="PreambelText"/>
        <w:spacing w:before="240" w:after="240"/>
        <w:rPr>
          <w:lang w:val="el" w:eastAsia="el"/>
        </w:rPr>
      </w:pPr>
      <w:r>
        <w:rPr>
          <w:lang w:val="el" w:eastAsia="el"/>
        </w:rPr>
        <w:t xml:space="preserve">5. </w:t>
      </w:r>
      <w:r>
        <w:rPr>
          <w:b/>
          <w:bCs/>
          <w:lang w:val="el" w:eastAsia="el"/>
        </w:rPr>
        <w:t>Το γεγονός ότι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Η προθεσμία υποβολής δηλώσεων στοιχείων ακινήτων (Ε9) έτους 2023, που προβλέπεται στο δεύτερο εδάφιο της περ. ε της παρ. 3 του άρθρου 6 του ν. 4223/2013, παρατείνεται μέχρι και την 31</w:t>
      </w:r>
      <w:r>
        <w:rPr>
          <w:b/>
          <w:bCs/>
          <w:sz w:val="30"/>
          <w:szCs w:val="30"/>
          <w:vertAlign w:val="superscript"/>
          <w:lang w:val="el" w:eastAsia="el"/>
        </w:rPr>
        <w:t>η</w:t>
      </w:r>
      <w:r>
        <w:rPr>
          <w:b/>
          <w:bCs/>
          <w:lang w:val="el" w:eastAsia="el"/>
        </w:rPr>
        <w:t>.7.2023.</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