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Πανεπιστημίου 20</w:t>
      </w:r>
    </w:p>
    <w:p>
      <w:pPr>
        <w:pStyle w:val="Title"/>
        <w:spacing w:before="120" w:after="360"/>
        <w:rPr>
          <w:lang w:val="el" w:eastAsia="el"/>
        </w:rPr>
      </w:pPr>
      <w:r>
        <w:rPr>
          <w:b/>
          <w:bCs/>
          <w:lang w:val="el" w:eastAsia="el"/>
        </w:rPr>
        <w:t>106 72</w:t>
      </w:r>
    </w:p>
    <w:p>
      <w:pPr>
        <w:pStyle w:val="Title"/>
        <w:spacing w:before="120" w:after="360"/>
        <w:rPr>
          <w:lang w:val="el" w:eastAsia="el"/>
        </w:rPr>
      </w:pPr>
      <w:r>
        <w:rPr>
          <w:b/>
          <w:bCs/>
          <w:lang w:val="el" w:eastAsia="el"/>
        </w:rPr>
        <w:t xml:space="preserve">210-3635007 </w:t>
      </w: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pStyle w:val="Title"/>
        <w:spacing w:before="120" w:after="360"/>
        <w:rPr>
          <w:lang w:val="el" w:eastAsia="el"/>
        </w:rPr>
      </w:pPr>
      <w:r>
        <w:rPr>
          <w:b/>
          <w:bCs/>
          <w:u w:val="single"/>
          <w:lang w:val="el" w:eastAsia="el"/>
        </w:rPr>
        <w:t>Β. ΓΕΝΙΚΗ ΔΙΕΥΘΥΝΣΗ ΤΕΛΩΝΕΙΩΝ &amp; Ε.Φ.Κ. ΔΙΕΥΘΥΝΣΗ ΤΕΛΩΝΕΙΑΚΩΝ ΔΙΑΔΙΚΑΣΙΩΝ ΤΜΗΜΑ Δ'</w:t>
      </w:r>
    </w:p>
    <w:p>
      <w:pPr>
        <w:pStyle w:val="Title"/>
        <w:spacing w:before="120" w:after="360"/>
        <w:rPr>
          <w:lang w:val="el" w:eastAsia="el"/>
        </w:rPr>
      </w:pPr>
      <w:r>
        <w:rPr>
          <w:b/>
          <w:bCs/>
          <w:u w:val="single"/>
          <w:lang w:val="el" w:eastAsia="el"/>
        </w:rPr>
        <w:t>Θέμα: «Ανακαθορισμός του χρόνου επικαιροποίησης των δημοσιοποιημένων καταστάσεων ληξιπρόθεσμων οφειλών για τα έτη 2020, 2021, 2022, 2023»</w:t>
      </w:r>
    </w:p>
    <w:p>
      <w:pPr>
        <w:pStyle w:val="enacting"/>
        <w:spacing w:before="120" w:after="0"/>
        <w:rPr>
          <w:lang w:val="el" w:eastAsia="el"/>
        </w:rPr>
      </w:pPr>
      <w:r>
        <w:rPr>
          <w:b/>
          <w:bCs/>
          <w:u w:val="single"/>
          <w:lang w:val="el" w:eastAsia="el"/>
        </w:rPr>
        <w:t>ΑΠΟΦΑΣΗΟΙ ΥΠΟΥΡΓΟΙ ΟΙΚΟΝΟΜΙΚΩΝ - ΕΡΓΑΣΙΑΣ ΚΑΙ ΚΟΙΝΩΝΙΚΗΣΑΣΦΑΛΙΣΗΣ</w:t>
      </w:r>
    </w:p>
    <w:p>
      <w:pPr>
        <w:pStyle w:val="PreambelText"/>
        <w:spacing w:before="240" w:after="240"/>
        <w:rPr>
          <w:lang w:val="el" w:eastAsia="el"/>
        </w:rPr>
      </w:pPr>
      <w:r>
        <w:rPr>
          <w:b/>
          <w:bCs/>
          <w:u w:val="single"/>
          <w:lang w:val="el" w:eastAsia="el"/>
        </w:rPr>
        <w:t>Έχοντας υπόψη:</w:t>
      </w:r>
    </w:p>
    <w:p>
      <w:pPr>
        <w:pStyle w:val="PreambelText"/>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των παρ. 1, 2 και 4 του άρθρου 9 του ν.3943/2011 «Καταπολέμηση της φοροδιαφυγής στελέχωση των ελεγκτικών υπηρεσιών και άλλες διατάξεις αρμοδιότητας Υπουργείου Οικονομικών» (Α΄ 66), μετά την αντικατάστασή τους με το άρθρο 42 του ν.4410/2016 (Α΄ 141),</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της περ. iv της υποπαρ. 2.3 της παρ. Γ του άρθρου 3 του ν.4336/2015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 (Α΄ 94),</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του Κεφ. Α΄ του ΜΕΡΟΥΣ ΠΡΩΤΟΥ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των παρ. 1, 5 και 6 του άρθρου 14 και του άρθρου 41 αυτού,</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του ν. 4987/2022 «Κώδικας Φορολογικής Διαδικασίας» (Α’ 206),</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του ν. 4978/2022 «Κώδικας Είσπραξης Δημοσίων Εσόδων» (Α΄ 190),</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w:t>
      </w:r>
    </w:p>
    <w:p>
      <w:pPr>
        <w:pStyle w:val="StructureList1"/>
        <w:spacing w:before="120" w:after="0"/>
        <w:rPr>
          <w:lang w:val="el" w:eastAsia="el"/>
        </w:rPr>
      </w:pPr>
      <w:r>
        <w:rPr>
          <w:u w:val="single"/>
          <w:lang w:val="el" w:eastAsia="el"/>
        </w:rPr>
        <w:t>ζ)</w:t>
      </w:r>
      <w:r>
        <w:rPr>
          <w:u w:val="single"/>
          <w:lang w:val="en" w:eastAsia="en"/>
        </w:rPr>
        <w:tab/>
      </w:r>
      <w:r>
        <w:rPr>
          <w:b/>
          <w:bCs/>
          <w:u w:val="single"/>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u w:val="single"/>
          <w:lang w:val="el" w:eastAsia="el"/>
        </w:rPr>
        <w:t>η)</w:t>
      </w:r>
      <w:r>
        <w:rPr>
          <w:u w:val="single"/>
          <w:lang w:val="en" w:eastAsia="en"/>
        </w:rPr>
        <w:tab/>
      </w:r>
      <w:r>
        <w:rPr>
          <w:b/>
          <w:bCs/>
          <w:u w:val="single"/>
          <w:lang w:val="el" w:eastAsia="el"/>
        </w:rPr>
        <w:t>του ν. 4387/2016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 (Α΄ 85),</w:t>
      </w:r>
    </w:p>
    <w:p>
      <w:pPr>
        <w:pStyle w:val="StructureList1"/>
        <w:spacing w:before="120" w:after="0"/>
        <w:rPr>
          <w:lang w:val="el" w:eastAsia="el"/>
        </w:rPr>
      </w:pPr>
      <w:r>
        <w:rPr>
          <w:u w:val="single"/>
          <w:lang w:val="el" w:eastAsia="el"/>
        </w:rPr>
        <w:t>θ)</w:t>
      </w:r>
      <w:r>
        <w:rPr>
          <w:u w:val="single"/>
          <w:lang w:val="en" w:eastAsia="en"/>
        </w:rPr>
        <w:tab/>
      </w:r>
      <w:r>
        <w:rPr>
          <w:b/>
          <w:bCs/>
          <w:u w:val="single"/>
          <w:lang w:val="el" w:eastAsia="el"/>
        </w:rPr>
        <w:t>του ν. 4670/2020 «Ασφαλιστική μεταρρύθμιση και ψηφιακός μετασχηματισμός Εθνικού Φορέα Κοινωνικής Ασφάλισης (e-Ε.Φ.Κ.Α.) και άλλες διατάξεις» (Α΄ 43),</w:t>
      </w:r>
    </w:p>
    <w:p>
      <w:pPr>
        <w:pStyle w:val="StructureList1"/>
        <w:spacing w:before="120" w:after="0"/>
        <w:rPr>
          <w:lang w:val="el" w:eastAsia="el"/>
        </w:rPr>
      </w:pPr>
      <w:r>
        <w:rPr>
          <w:u w:val="single"/>
          <w:lang w:val="el" w:eastAsia="el"/>
        </w:rPr>
        <w:t>ι)</w:t>
      </w:r>
      <w:r>
        <w:rPr>
          <w:u w:val="single"/>
          <w:lang w:val="en" w:eastAsia="en"/>
        </w:rPr>
        <w:tab/>
      </w:r>
      <w:r>
        <w:rPr>
          <w:b/>
          <w:bCs/>
          <w:u w:val="single"/>
          <w:lang w:val="el" w:eastAsia="el"/>
        </w:rPr>
        <w:t>του π.δ. 142/2017 «Οργανισμός Υπουργείου Οικονομικών» (Α΄ 181), ια) του π.δ. 134/2017 «Οργανισμός του Υπουργείου Εργασίας, Κοινωνικής Ασφάλισης και Κοινωνικής Αλληλεγγύης» (Α΄ 168),</w:t>
      </w:r>
    </w:p>
    <w:p>
      <w:pPr>
        <w:pStyle w:val="StructureList1"/>
        <w:spacing w:before="120" w:after="0"/>
        <w:rPr>
          <w:lang w:val="el" w:eastAsia="el"/>
        </w:rPr>
      </w:pPr>
      <w:r>
        <w:rPr>
          <w:u w:val="single"/>
          <w:lang w:val="el" w:eastAsia="el"/>
        </w:rPr>
        <w:t>ιβ)</w:t>
      </w:r>
      <w:r>
        <w:rPr>
          <w:u w:val="single"/>
          <w:lang w:val="en" w:eastAsia="en"/>
        </w:rPr>
        <w:tab/>
      </w:r>
      <w:r>
        <w:rPr>
          <w:b/>
          <w:bCs/>
          <w:u w:val="single"/>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ιγ) του π.δ. 79/2023 «Διορισμός Υπουργών, Αναπληρωτών Υπουργών και Υφυπουργών» (Α΄ 131),</w:t>
      </w:r>
    </w:p>
    <w:p>
      <w:pPr>
        <w:pStyle w:val="StructureList1"/>
        <w:spacing w:before="120" w:after="0"/>
        <w:rPr>
          <w:lang w:val="el" w:eastAsia="el"/>
        </w:rPr>
      </w:pPr>
      <w:r>
        <w:rPr>
          <w:u w:val="single"/>
          <w:lang w:val="el" w:eastAsia="el"/>
        </w:rPr>
        <w:t>ιδ)</w:t>
      </w:r>
      <w:r>
        <w:rPr>
          <w:u w:val="single"/>
          <w:lang w:val="en" w:eastAsia="en"/>
        </w:rPr>
        <w:tab/>
      </w:r>
      <w:r>
        <w:rPr>
          <w:b/>
          <w:bCs/>
          <w:u w:val="single"/>
          <w:lang w:val="el" w:eastAsia="el"/>
        </w:rPr>
        <w:t>της υπό στοιχεία Δ. ΟΡΓ. Α 1125859 ΕΞ2020/23.10.2020 (Β’ 4738) απόφασης του Διοικητή της Ανεξάρτητης Αρχής Δημοσίων Εσόδων «Οργανισμός της Ανεξάρτητης Αρχής Δημοσίων Εσόδων (Α.Α.Δ.Ε.)».</w:t>
      </w:r>
    </w:p>
    <w:p>
      <w:pPr>
        <w:pStyle w:val="PreambelText"/>
        <w:spacing w:before="240" w:after="240"/>
        <w:rPr>
          <w:lang w:val="el" w:eastAsia="el"/>
        </w:rPr>
      </w:pPr>
      <w:r>
        <w:rPr>
          <w:u w:val="single"/>
          <w:lang w:val="el" w:eastAsia="el"/>
        </w:rPr>
        <w:t xml:space="preserve">2. </w:t>
      </w:r>
      <w:r>
        <w:rPr>
          <w:b/>
          <w:bCs/>
          <w:u w:val="single"/>
          <w:lang w:val="el" w:eastAsia="el"/>
        </w:rPr>
        <w:t>Την υπό στοιχεία ΠΟΛ. 1158/2017 κοινή απόφαση των Υφυπουργών Εργασίας Κοινωνικής Ασφάλισης και Κοινωνικής Αλληλεγγύης και Οικονομικών «Καθορισμός των προϋποθέσεων, της διαδικασίας, των τεχνικών προδιαγραφών, του χρόνου και του τρόπου δημοσιοποίησης στο διαδίκτυο, της διαδικασίας αποστολής της ηλεκτρονικής ειδοποίησης, των δεδομένων που δημοσιοποιούνται, της διαδικασίας και των προϋποθέσεων άρσης ή διόρθωσης της δημοσιοποίησης, των αρμόδιων οργάνων για τη διενέργεια της δημοσιοποίησης και την άρση αυτής, των οργανωτικών και τεχνικών μέτρων για την ασφάλεια της επεξεργασίας και κάθε άλλου ειδικότερου θέματος σύμφωνα με τις διατάξεις του άρθρου 9, παρ. 1, 2 και 4 του ν.3943/2011» (Β΄ 3634), μετά την τροποποίησή της με την υπό στοιχεία Α.1158/2020 «Ανακαθορισμός του χρόνου επικαιροποίησης των δημοσιοποιούμενων καταστάσεων ληξιπρόθεσμων οφειλών για το έτος 2020» (Β΄ 2745 και 3277 διόρθωση σφάλματος) κοινή απόφαση του Υφυπουργού Οικονομικών και του Υπουργού Εργασίας και Κοινωνικών Υποθέσεων, την υπό στοιχεία Α.1237/2020 «Ανακαθορισμός του χρόνου επικαιροποίησης των δημοσιοποιούμενων καταστάσεων ληξιπρόθεσμων οφειλών για το έτος 2020» (Β΄ 4795) κοινή απόφαση του Υφυπουργού Οικονομικών και του Υπουργού Εργασίας και Κοινωνικών Υποθέσεων, την υπό στοιχεία Α.1141/2021 «Ανακαθορισμός του χρόνου επικαιροποίησης των δημοσιοποιούμενων καταστάσεων ληξιπρόθεσμων οφειλών για τα έτη 2020 και 2021» (Β΄ 2751) κοινή απόφαση του Υφυπουργού Οικονομικών και του Υπουργού Εργασίας και Κοινωνικών Υποθέσεων και την υπό στοιχεία Α.1010/2022 «Ανακαθορισμός του χρόνου επικαιροποίησης των δημοσιοποιημένων καταστάσεων ληξιπρόθεσμων οφειλών για τα έτη 2020, 2021 και 2022» (Β΄ 304) κοινή απόφαση των Υφυπουργών Οικονομικών και Εργασίας και Κοινωνικών Υποθέσεων.</w:t>
      </w:r>
    </w:p>
    <w:p>
      <w:pPr>
        <w:pStyle w:val="PreambelText"/>
        <w:spacing w:before="240" w:after="240"/>
        <w:rPr>
          <w:lang w:val="el" w:eastAsia="el"/>
        </w:rPr>
      </w:pPr>
      <w:r>
        <w:rPr>
          <w:u w:val="single"/>
          <w:lang w:val="el" w:eastAsia="el"/>
        </w:rPr>
        <w:t xml:space="preserve">3. </w:t>
      </w:r>
      <w:r>
        <w:rPr>
          <w:b/>
          <w:bCs/>
          <w:u w:val="single"/>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υπό στοιχεία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2020/17.1.2020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u w:val="single"/>
          <w:lang w:val="el" w:eastAsia="el"/>
        </w:rPr>
        <w:t xml:space="preserve">4. </w:t>
      </w:r>
      <w:r>
        <w:rPr>
          <w:b/>
          <w:bCs/>
          <w:u w:val="single"/>
          <w:lang w:val="el" w:eastAsia="el"/>
        </w:rPr>
        <w:t>Την ανάγκη νέας μεταβολής της ημερομηνίας επικαιροποίησης των καταστάσεων των δημοσιοποιούμενων οφειλών.</w:t>
      </w:r>
    </w:p>
    <w:p>
      <w:pPr>
        <w:pStyle w:val="PreambelText"/>
        <w:spacing w:before="240" w:after="240"/>
        <w:rPr>
          <w:lang w:val="el" w:eastAsia="el"/>
        </w:rPr>
      </w:pPr>
      <w:r>
        <w:rPr>
          <w:u w:val="single"/>
          <w:lang w:val="el" w:eastAsia="el"/>
        </w:rPr>
        <w:t xml:space="preserve">5. </w:t>
      </w:r>
      <w:r>
        <w:rPr>
          <w:b/>
          <w:bCs/>
          <w:u w:val="single"/>
          <w:lang w:val="el" w:eastAsia="el"/>
        </w:rPr>
        <w:t>Το γεγονός ότι από την απόφαση αυτή δεν προκαλείται δαπάνη σε βάρος του κρατικού προϋπολογισμού.</w:t>
      </w:r>
    </w:p>
    <w:p>
      <w:pPr>
        <w:pStyle w:val="enacting"/>
        <w:spacing w:before="120" w:after="0"/>
        <w:rPr>
          <w:lang w:val="el" w:eastAsia="el"/>
        </w:rPr>
      </w:pPr>
      <w:r>
        <w:rPr>
          <w:b/>
          <w:bCs/>
          <w:u w:val="single"/>
          <w:lang w:val="el" w:eastAsia="el"/>
        </w:rPr>
        <w:t>ΑΠΟΦΑΣΙΖΟΥΜΕ</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μόνο</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Το τελευταίο εδάφιο της παρ. 2 του άρθρου 3 της υπό στοιχεία ΠΟΛ. 1158/2017 (Β΄ 3634) κοινής απόφασης των Υφυπουργών Εργασίας, Κοινωνικής Ασφάλισης και Κοινωνικής Αλληλεγγύης και Οικονομικών, όπως προστέθηκε με την υπό στοιχεία Α.1158/2020 (Β΄ 2745 &amp; Β΄3277) κοινή απόφαση του Υφυπουργού Οικονομικών και του Υπουργού Εργασίας και Κοινωνικών Υποθέσεων, αντικαταστάθηκε με τις υπό στοιχεία Α.1237/2020 (Β΄ 4795) και Α.1141/2021 (Β΄ 2751) κοινές αποφάσεις του Υφυπουργού Οικονομικών και του Υπουργού</w:t>
      </w:r>
    </w:p>
    <w:p>
      <w:pPr>
        <w:spacing w:before="240" w:after="240"/>
        <w:rPr>
          <w:lang w:val="el" w:eastAsia="el"/>
        </w:rPr>
      </w:pPr>
      <w:r>
        <w:rPr>
          <w:b/>
          <w:bCs/>
          <w:u w:val="single"/>
          <w:lang w:val="el" w:eastAsia="el"/>
        </w:rPr>
        <w:t>Εργασίας και Κοινωνικών Υποθέσεων και τις υπό στοιχεία Α.1010/2022 (Β΄ 304), Α. 1097/2022 (Β΄3793) κοινές αποφάσεις των Υφυπουργών Οικονομικών και Εργασίας και Κοινωνικών Υποθέσεων, αντικαθίσταται ως εξής: «Εξαιρετικά, για τα ημερολογιακά έτη 2020 2021, 2022 και 2023, οι καταστάσεις που έχουν δημοσιοποιηθεί, επικαιροποιούνται μέχρι την 4η Αυγούστου 2023».</w:t>
      </w:r>
    </w:p>
    <w:p>
      <w:pPr>
        <w:spacing w:before="240" w:after="240"/>
        <w:rPr>
          <w:lang w:val="el" w:eastAsia="el"/>
        </w:rPr>
      </w:pPr>
      <w:r>
        <w:rPr>
          <w:b/>
          <w:bCs/>
          <w:u w:val="single"/>
          <w:lang w:val="el" w:eastAsia="el"/>
        </w:rPr>
        <w:t>Οι διατάξεις της παρούσας απόφασης ισχύουν από τη δημοσίευσή της στην Εφημερίδα της Κυβερνήσεως.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Η απόφαση αυτή να δημοσιευτεί στην Εφημερίδα της Κυβερνήσεως.</w:t>
      </w:r>
    </w:p>
    <w:p>
      <w:pPr>
        <w:spacing w:before="240" w:after="240"/>
        <w:rPr>
          <w:lang w:val="el" w:eastAsia="el"/>
        </w:rPr>
      </w:pPr>
      <w:r>
        <w:rPr>
          <w:b/>
          <w:bCs/>
          <w:u w:val="single"/>
          <w:lang w:val="el" w:eastAsia="el"/>
        </w:rPr>
        <w:t>Ο ΥΠΟΥΡΓΟΣ ΕΡΓΑΣΙΑΣ ΚΑΙ ΚΟΙΝΩΝΙΚΗΣ ΑΣΦΑΛΙΣΗΣ</w:t>
      </w:r>
    </w:p>
    <w:p>
      <w:pPr>
        <w:spacing w:before="240" w:after="240"/>
        <w:rPr>
          <w:lang w:val="el" w:eastAsia="el"/>
        </w:rPr>
      </w:pPr>
      <w:r>
        <w:rPr>
          <w:b/>
          <w:bCs/>
          <w:u w:val="single"/>
          <w:lang w:val="el" w:eastAsia="el"/>
        </w:rPr>
        <w:t>ΣΠΥΡΙΔΩΝ- ΑΔΩΝΙΣ ΓΕΩΡΓΙΑΔΗΣ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ΠΡΟΣ ΕΝΕΡΓΕΙΑ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Αποδέκτες Πίνακα Γ΄</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Κέντρο Είσπραξης Ασφαλιστικών Οφειλών</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Διεύθυνση Στρατηγικής Τεχνολογιών Πληροφορικής (για ανάρτηση στην ιστοσελίδα της Α.Α.Δ.Ε.)</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Αυτοτελές Τμήμα Συντονισμού Μεταρρυθμιστικών Δράσεων και Επικοινωνίας</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Ηλεκτρονική Βιβλιοθήκη ΑΑΔΕ</w:t>
      </w:r>
    </w:p>
    <w:p>
      <w:pPr>
        <w:spacing w:before="240" w:after="240"/>
        <w:rPr>
          <w:lang w:val="el" w:eastAsia="el"/>
        </w:rPr>
      </w:pPr>
      <w:r>
        <w:rPr>
          <w:b/>
          <w:bCs/>
          <w:u w:val="single"/>
          <w:lang w:val="el" w:eastAsia="el"/>
        </w:rPr>
        <w:t>Β. ΑΠΟΔΕΚΤΕΣ ΠΡΟΣ ΚΟΙΝΟΠΟΙΗΣΗ</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Γραφείο Υπουργού Οικονομικών</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Γραφείο Υφυπουργού Οικονομικών</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Γραφείο Υπουργού Εργασίας και Κοινωνικής Ασφάλισης</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Γραφείο Υφυπουργού Εργασίας και Κοινωνικής Ασφάλισης</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Αποδέκτες Πίνακα Α΄, Δ΄, Ι΄ (πλην των αποδεκτών προς ενέργεια)</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Αυτοτελές Γραφείο Τύπου και Δημοσίων Σχέσεων</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Γενική Διεύθυνση Τελωνείων και Ειδικών Φόρων Κατανάλωσης</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Διεύθυνση Τελωνειακών Διαδικασιών</w:t>
      </w:r>
    </w:p>
    <w:p>
      <w:pPr>
        <w:pStyle w:val="MainText"/>
        <w:spacing w:before="120" w:after="0"/>
        <w:rPr>
          <w:lang w:val="el" w:eastAsia="el"/>
        </w:rPr>
      </w:pPr>
      <w:r>
        <w:rPr>
          <w:b/>
          <w:bCs/>
          <w:u w:val="single"/>
          <w:lang w:val="el" w:eastAsia="el"/>
        </w:rPr>
        <w:t>9.</w:t>
      </w:r>
      <w:r>
        <w:rPr>
          <w:u w:val="single"/>
          <w:lang w:val="el" w:eastAsia="el"/>
        </w:rPr>
        <w:t xml:space="preserve"> </w:t>
      </w:r>
      <w:r>
        <w:rPr>
          <w:b/>
          <w:bCs/>
          <w:u w:val="single"/>
          <w:lang w:val="el" w:eastAsia="el"/>
        </w:rPr>
        <w:t>Γραφείο Γενικού Γραμματέα Φορολογικής Πολιτικής</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Γραφείο Διοικητή Ανεξάρτητης Αρχής Δημοσίων Εσόδων</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Γραφείο Προϊσταμένου Γενικής Διεύθυνσης Φορολογίας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Αυτοτελές Τμήμα Συντονισμού Μεταρρυθμιστικών Δράσεων και Επικοινωνίας</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Διεύθυνση Νομικής Υποστήριξης</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Διεύθυνση Διαδικασιών Εισπράξεων και Επιστροφών– Τμήματα Α-Γ,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