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ΦΟΡΟΛΟΓΙΑΣ</w:t>
      </w:r>
    </w:p>
    <w:p>
      <w:pPr>
        <w:pStyle w:val="PreambelText"/>
        <w:spacing w:before="240" w:after="240"/>
        <w:rPr>
          <w:lang w:val="el" w:eastAsia="el"/>
        </w:rPr>
      </w:pPr>
      <w:r>
        <w:rPr>
          <w:b/>
          <w:bCs/>
          <w:lang w:val="el" w:eastAsia="el"/>
        </w:rPr>
        <w:t>ΔΙΕΥΘΥΝΣΗ ΔΙΑΔΙΚΑΣΙΩΝ ΕΙΣΠΡΑΞΕΩΝ &amp; ΕΠΙΣΤΡΟΦΩΝ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 ΓΕΝΙΚΗ ΔΙΕΥΘΥΝΣΗ ΤΕΛΩΝΕΙΩΝ &amp; Ε.Φ.Κ.</w:t>
      </w:r>
    </w:p>
    <w:p>
      <w:pPr>
        <w:spacing w:before="240" w:after="240"/>
        <w:rPr>
          <w:lang w:val="el" w:eastAsia="el"/>
        </w:rPr>
      </w:pPr>
      <w:r>
        <w:rPr>
          <w:b/>
          <w:bCs/>
          <w:lang w:val="el" w:eastAsia="el"/>
        </w:rPr>
        <w:t>ΔΙΕΥΘΥΝΣΗ ΤΕΛΩΝΕΙΑΚΩΝ ΔΙΑΔΙΚΑΣΙΩΝ ΤΜΗΜΑ Δ΄</w:t>
      </w:r>
    </w:p>
    <w:p>
      <w:pPr>
        <w:spacing w:before="240" w:after="240"/>
        <w:rPr>
          <w:lang w:val="el" w:eastAsia="el"/>
        </w:rPr>
      </w:pPr>
      <w:r>
        <w:rPr>
          <w:b/>
          <w:bCs/>
          <w:lang w:val="el" w:eastAsia="el"/>
        </w:rPr>
        <w:t>Γ.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ΤΜΗΜΑΤΑ Α΄, Β΄, Γ΄</w:t>
      </w:r>
    </w:p>
    <w:p>
      <w:pPr>
        <w:spacing w:before="240" w:after="240"/>
        <w:rPr>
          <w:lang w:val="el" w:eastAsia="el"/>
        </w:rPr>
      </w:pPr>
      <w:r>
        <w:rPr>
          <w:lang w:val="el" w:eastAsia="el"/>
        </w:rPr>
        <w:t xml:space="preserve">2. </w:t>
      </w:r>
      <w:r>
        <w:rPr>
          <w:b/>
          <w:bCs/>
          <w:lang w:val="el" w:eastAsia="el"/>
        </w:rPr>
        <w:t>ΔΙΕΥΘΥΝΣΗ ΑΝΑΠΤΥΞΗΣ ΦΟΡΟΛΟΓΙΚΩΝ ΕΦΑΡΜΟΓΩΝ ΤΜΗΜΑΤΑ Α΄ &amp; Γ΄</w:t>
      </w:r>
    </w:p>
    <w:p>
      <w:pPr>
        <w:spacing w:before="240" w:after="240"/>
        <w:rPr>
          <w:lang w:val="el" w:eastAsia="el"/>
        </w:rPr>
      </w:pPr>
      <w:r>
        <w:rPr>
          <w:b/>
          <w:bCs/>
          <w:lang w:val="el" w:eastAsia="el"/>
        </w:rPr>
        <w:t>ΘΕΜΑ: Τροποποίηση της υπό στοιχεία ΠΟΛ. 1080/2015 (Β’ 628) απόφασης της Αναπληρώτριας Υπουργού Οικονομικών και της υπό στοιχεία ΠΟΛ 1236/2014 (Β’ 3033) απόφασης του Γενικού Γραμματέα Δημοσίων Εσόδων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α) i. Τις διατάξεις των</w:t>
      </w:r>
      <w:r>
        <w:rPr>
          <w:rStyle w:val="link"/>
          <w:b/>
          <w:bCs/>
          <w:lang w:val="el" w:eastAsia="el"/>
        </w:rPr>
        <w:t xml:space="preserve"> άρθρων 1-17 τ</w:t>
      </w:r>
      <w:r>
        <w:rPr>
          <w:b/>
          <w:bCs/>
          <w:lang w:val="el" w:eastAsia="el"/>
        </w:rPr>
        <w:t>ου ν. 4321/2015 (Α’ 32) και ιδίως του άρθρου 17 καθώς και του άρθρου 2 του ν. 4336/2015 (Α’ 94), με τις οποίες παρέχεται εξουσιοδότηση στο Γενικό Γραμματέα Δημοσίων Εσόδων να ρυθμίζει ειδικότερα θέματα και λεπτομέρειες για την εφαρμογή των ανωτέρω διατάξεων του ν. 4321/2015.</w:t>
      </w:r>
    </w:p>
    <w:p>
      <w:pPr>
        <w:pStyle w:val="StructureList1"/>
        <w:spacing w:before="120" w:after="0"/>
        <w:rPr>
          <w:lang w:val="el" w:eastAsia="el"/>
        </w:rPr>
      </w:pPr>
      <w:r>
        <w:rPr>
          <w:lang w:val="el" w:eastAsia="el"/>
        </w:rPr>
        <w:t>ii)</w:t>
      </w:r>
      <w:r>
        <w:rPr>
          <w:lang w:val="en" w:eastAsia="en"/>
        </w:rPr>
        <w:tab/>
      </w:r>
      <w:r>
        <w:rPr>
          <w:b/>
          <w:bCs/>
          <w:lang w:val="el" w:eastAsia="el"/>
        </w:rPr>
        <w:t>Την υπό στοιχεία ΠΟΛ 1080/2015 (Β’ 628) απόφαση της Αναπληρώτριας Υπουργού Οικονομικών.</w:t>
      </w:r>
    </w:p>
    <w:p>
      <w:pPr>
        <w:pStyle w:val="StructureList1"/>
        <w:spacing w:before="120" w:after="0"/>
        <w:rPr>
          <w:lang w:val="el" w:eastAsia="el"/>
        </w:rPr>
      </w:pPr>
      <w:r>
        <w:rPr>
          <w:lang w:val="el" w:eastAsia="el"/>
        </w:rPr>
        <w:t>β)</w:t>
      </w:r>
      <w:r>
        <w:rPr>
          <w:lang w:val="en" w:eastAsia="en"/>
        </w:rPr>
        <w:tab/>
      </w:r>
      <w:r>
        <w:rPr>
          <w:b/>
          <w:bCs/>
          <w:lang w:val="el" w:eastAsia="el"/>
        </w:rPr>
        <w:t>i. Τις διατάξεις του άρθρου 51 του ν.4305/2014 (A’ 237) και ιδίως την παρ. 19, με την οποία παρέχεται εξουσιοδότηση στον Διοικητή Α.Α.Δ.Ε. να καθορίζει λεπτομέρειες για την εφαρμογή των ανωτέρω διατάξεων.</w:t>
      </w:r>
    </w:p>
    <w:p>
      <w:pPr>
        <w:spacing w:before="240" w:after="240"/>
        <w:rPr>
          <w:lang w:val="el" w:eastAsia="el"/>
        </w:rPr>
      </w:pPr>
      <w:r>
        <w:rPr>
          <w:b/>
          <w:bCs/>
          <w:lang w:val="el" w:eastAsia="el"/>
        </w:rPr>
        <w:t>ii.Την υπό στοιχεία ΠΟΛ 1236/2014 (Β’ 3033) Απόφαση Γενικού Γραμματέα Δημοσίων Εσόδων.</w:t>
      </w:r>
    </w:p>
    <w:p>
      <w:pPr>
        <w:pStyle w:val="StructureList1"/>
        <w:spacing w:before="120" w:after="0"/>
        <w:rPr>
          <w:lang w:val="el" w:eastAsia="el"/>
        </w:rPr>
      </w:pPr>
      <w:r>
        <w:rPr>
          <w:lang w:val="el" w:eastAsia="el"/>
        </w:rPr>
        <w:t>γ)</w:t>
      </w:r>
      <w:r>
        <w:rPr>
          <w:lang w:val="en" w:eastAsia="en"/>
        </w:rPr>
        <w:tab/>
      </w:r>
      <w:r>
        <w:rPr>
          <w:b/>
          <w:bCs/>
          <w:lang w:val="el" w:eastAsia="el"/>
        </w:rPr>
        <w:t>i.Τις διατάξεις της υποπερ. ββ της περ. θ της παρ. 4 του άρθρου 14 του ν. 4389/2016 (Α’ 94) σε συνδυασμό με την παρ. 4 του άρθρου 67 του ν. 4646/2019 (Α’ 201).</w:t>
      </w:r>
    </w:p>
    <w:p>
      <w:pPr>
        <w:spacing w:before="240" w:after="240"/>
        <w:rPr>
          <w:lang w:val="el" w:eastAsia="el"/>
        </w:rPr>
      </w:pPr>
      <w:r>
        <w:rPr>
          <w:b/>
          <w:bCs/>
          <w:lang w:val="el" w:eastAsia="el"/>
        </w:rPr>
        <w:t>ii. Την υπό στοιχεία ΠΟΛ 1277/2013 (Β’ 3398) απόφαση του Γενικού Γραμματέα Δημοσίων Εσόδων.</w:t>
      </w:r>
    </w:p>
    <w:p>
      <w:pPr>
        <w:spacing w:before="240" w:after="240"/>
        <w:rPr>
          <w:lang w:val="el" w:eastAsia="el"/>
        </w:rPr>
      </w:pPr>
      <w:r>
        <w:rPr>
          <w:lang w:val="el" w:eastAsia="el"/>
        </w:rPr>
        <w:t xml:space="preserve">2. </w:t>
      </w:r>
      <w:r>
        <w:rPr>
          <w:b/>
          <w:bCs/>
          <w:lang w:val="el" w:eastAsia="el"/>
        </w:rPr>
        <w:t>Τις διατάξεις του ν.4978/2022 «Κύρωση Κώδικα Είσπραξης Δημοσίων Εσόδων» (Α’ 190).</w:t>
      </w:r>
    </w:p>
    <w:p>
      <w:pPr>
        <w:spacing w:before="240" w:after="240"/>
        <w:rPr>
          <w:lang w:val="el" w:eastAsia="el"/>
        </w:rPr>
      </w:pPr>
      <w:r>
        <w:rPr>
          <w:lang w:val="el" w:eastAsia="el"/>
        </w:rPr>
        <w:t xml:space="preserve">3. </w:t>
      </w:r>
      <w:r>
        <w:rPr>
          <w:b/>
          <w:bCs/>
          <w:lang w:val="el" w:eastAsia="el"/>
        </w:rPr>
        <w:t>Τις διατάξεις του ν. 4987/2022 «Κύρωση Κώδικα Φορολογικής Διαδικασίας» (Α’ 206).</w:t>
      </w:r>
    </w:p>
    <w:p>
      <w:pPr>
        <w:spacing w:before="240" w:after="240"/>
        <w:rPr>
          <w:lang w:val="el" w:eastAsia="el"/>
        </w:rPr>
      </w:pPr>
      <w:r>
        <w:rPr>
          <w:lang w:val="el" w:eastAsia="el"/>
        </w:rPr>
        <w:t xml:space="preserve">4.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5.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και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6. </w:t>
      </w:r>
      <w:r>
        <w:rPr>
          <w:b/>
          <w:bCs/>
          <w:lang w:val="el" w:eastAsia="el"/>
        </w:rPr>
        <w:t>Την ανάγκη καθορισμού της δυνατότητας απώλειας των ρυθμίσεων κατά τις διατάξεις των άρθρων 1-17 του ν.4321/2015, του άρθρου 51 του ν.4305/2014 και του άρθρου 43 του ν.4174/2013 και κεντρικά μέσω των Πληροφοριακών Συστημάτων της Α.Α.Δ.Ε..</w:t>
      </w:r>
    </w:p>
    <w:p>
      <w:pPr>
        <w:spacing w:before="240" w:after="240"/>
        <w:rPr>
          <w:lang w:val="el" w:eastAsia="el"/>
        </w:rPr>
      </w:pPr>
      <w:r>
        <w:rPr>
          <w:lang w:val="el" w:eastAsia="el"/>
        </w:rPr>
        <w:t xml:space="preserve">7.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τέλος του άρθρου 9 της υπό στοιχεία ΠΟΛ 1080/2015 απόφασης της Αναπληρώτριας Υπουργού Οικονομικών προστίθεται εδάφιο ως εξής:</w:t>
      </w:r>
    </w:p>
    <w:p>
      <w:pPr>
        <w:spacing w:before="240" w:after="240"/>
        <w:rPr>
          <w:lang w:val="el" w:eastAsia="el"/>
        </w:rPr>
      </w:pPr>
      <w:r>
        <w:rPr>
          <w:b/>
          <w:bCs/>
          <w:lang w:val="el" w:eastAsia="el"/>
        </w:rPr>
        <w:t>«Η απώλεια της ρύθμισης δύναται να συντελείται και κεντρικά μέσω των Πληροφοριακών Συστημάτων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τέλος της περ. α΄ της παρ. 10 της υπό στοιχεία ΠΟΛ 1236/2014 απόφασης του Γενικού Γραμματέα Δημοσίων Εσόδων προστίθεται εδάφιο ως εξής:</w:t>
      </w:r>
    </w:p>
    <w:p>
      <w:pPr>
        <w:spacing w:before="240" w:after="240"/>
        <w:rPr>
          <w:lang w:val="el" w:eastAsia="el"/>
        </w:rPr>
      </w:pPr>
      <w:r>
        <w:rPr>
          <w:b/>
          <w:bCs/>
          <w:lang w:val="el" w:eastAsia="el"/>
        </w:rPr>
        <w:t>«Η απώλεια της ρύθμισης δύναται να συντελείται και κεντρικά μέσω των Πληροφοριακών Συστημάτων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«Η απώλεια της ρύθμισης, σύμφωνα με το άρθρο 5 της υπό στοιχεία ΠΟΛ 1277/2013 δύναται να συντελείται και κεντρικά μέσω των Πληροφοριακών Συστημάτων της Α.Α.Δ.Ε.».</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Γενική Διεύθυνση Ηλεκτρονικής Διακυβέρνησης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Δ/νση Στρατηγικής Τεχνολογιών Πληροφορικής (με την παράκληση να αναρτηθεί διαδικτυακό τόπο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Γενική Γραμματεία Φορολογικής Πολιτικής και Δημόσιας Περιουσίας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A,B,Γ, Δ</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Γραφεία κ.κ. Γεν. Διευθυντών</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Διαδικασιών Εισπράξεων και Επιστροφών- Τμήματα Α, Β, Γ, Γραμματεία</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Επιχειρησιακού Σχεδιασμού Εισπράξεων και Επιστροφών</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