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Α.ΓΕΝΙΚΗ ΔΙΕΥΘΥΝΣΗ ΦΟΡΟΛΟΓΙΑΣ</w:t>
      </w:r>
    </w:p>
    <w:p>
      <w:pPr>
        <w:pStyle w:val="PreambelText"/>
        <w:spacing w:before="240" w:after="240"/>
        <w:rPr>
          <w:lang w:val="el" w:eastAsia="el"/>
        </w:rPr>
      </w:pPr>
      <w:r>
        <w:rPr>
          <w:b/>
          <w:bCs/>
          <w:lang w:val="el" w:eastAsia="el"/>
        </w:rPr>
        <w:t>ΔΙΕΥΘΥΝΣΗ ΔΙΑΔΙΚΑΣΙΩΝ ΕΙΣΠΡΑΞΕΩΝ &amp; ΕΠΙΣΤΡΟΦΩΝ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ΓΕΝΙΚΗ ΔΙΕΥΘΥΝΣΗ ΤΕΛΩΝΕΙΩΝ &amp; Ε.Φ.Κ.</w:t>
      </w:r>
    </w:p>
    <w:p>
      <w:pPr>
        <w:spacing w:before="240" w:after="240"/>
        <w:rPr>
          <w:lang w:val="el" w:eastAsia="el"/>
        </w:rPr>
      </w:pPr>
      <w:r>
        <w:rPr>
          <w:b/>
          <w:bCs/>
          <w:lang w:val="el" w:eastAsia="el"/>
        </w:rPr>
        <w:t>ΔΙΕΥΘΥΝΣΗ ΤΕΛΩΝΕΙΑΚΩΝ ΔΙΑΔΙΚΑΣΙΩΝ ΤΜΗΜΑ Δ΄</w:t>
      </w:r>
    </w:p>
    <w:p>
      <w:pPr>
        <w:spacing w:before="240" w:after="240"/>
        <w:rPr>
          <w:lang w:val="el" w:eastAsia="el"/>
        </w:rPr>
      </w:pPr>
      <w:r>
        <w:rPr>
          <w:b/>
          <w:bCs/>
          <w:lang w:val="el" w:eastAsia="el"/>
        </w:rPr>
        <w:t>Γ. 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 ΤΜΗΜΑΤΑ Α΄, Β΄, Γ΄</w:t>
      </w:r>
    </w:p>
    <w:p>
      <w:pPr>
        <w:spacing w:before="240" w:after="240"/>
        <w:rPr>
          <w:lang w:val="el" w:eastAsia="el"/>
        </w:rPr>
      </w:pPr>
      <w:r>
        <w:rPr>
          <w:lang w:val="el" w:eastAsia="el"/>
        </w:rPr>
        <w:t xml:space="preserve">2. </w:t>
      </w:r>
      <w:r>
        <w:rPr>
          <w:b/>
          <w:bCs/>
          <w:lang w:val="el" w:eastAsia="el"/>
        </w:rPr>
        <w:t>ΔΙΕΥΘΥΝΣΗ ΑΝΑΠΤΥΞΗΣ ΦΟΡΟΛΟΓΙΚΩΝ ΕΦΑΡΜΟΓΩΝ ΤΜΗΜΑΤΑ Α΄ &amp; Γ΄</w:t>
      </w:r>
    </w:p>
    <w:p>
      <w:pPr>
        <w:spacing w:before="240" w:after="240"/>
        <w:rPr>
          <w:lang w:val="el" w:eastAsia="el"/>
        </w:rPr>
      </w:pPr>
      <w:r>
        <w:rPr>
          <w:b/>
          <w:bCs/>
          <w:lang w:val="el" w:eastAsia="el"/>
        </w:rPr>
        <w:t>ΘΕΜΑ: Τροποποίηση της υπό στοιχεία Α. 1196/2019 (Β’ 1762) κοινής απόφασης του Υφυπουργού Οικονομικών και του Διοικητή της Ανεξάρτητης Αρχής Δημοσίων Εσόδων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 ΚΑΙ 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α) Τις διατάξεις των</w:t>
      </w:r>
      <w:r>
        <w:rPr>
          <w:rStyle w:val="link"/>
          <w:b/>
          <w:bCs/>
          <w:lang w:val="el" w:eastAsia="el"/>
        </w:rPr>
        <w:t xml:space="preserve"> άρθρων </w:t>
      </w:r>
      <w:r>
        <w:rPr>
          <w:b/>
          <w:bCs/>
          <w:lang w:val="el" w:eastAsia="el"/>
        </w:rPr>
        <w:t>98 έως 109 του Μέρους Β΄ «ΡΥΘΜΙΣΗ ΟΦΕΙΛΩΝ ΠΡΟΣ ΤΗ ΦΟΡΟΛΟΓΙΚΗ ΔΙΟΙΚΗΣΗ» του ν. 4611/2019 (Α’ 73) και ιδίως του άρθρου 109 του ως άνω νόμου, με τις οποίες παρέχεται εξουσιοδότηση να ορίζονται λεπτομέρειες για την εφαρμογή της ρύθμισης αυτής με κοινή απόφαση του Υπουργού Οικονομικών και του Διοικητή της Ανεξάρτητης Αρχής Δημοσίων (Α.Α.Δ.Ε.).</w:t>
      </w:r>
    </w:p>
    <w:p>
      <w:pPr>
        <w:pStyle w:val="StructureList1"/>
        <w:spacing w:before="120" w:after="0"/>
        <w:rPr>
          <w:lang w:val="el" w:eastAsia="el"/>
        </w:rPr>
      </w:pPr>
      <w:r>
        <w:rPr>
          <w:lang w:val="el" w:eastAsia="el"/>
        </w:rPr>
        <w:t>β)</w:t>
      </w:r>
      <w:r>
        <w:rPr>
          <w:lang w:val="en" w:eastAsia="en"/>
        </w:rPr>
        <w:tab/>
      </w:r>
      <w:r>
        <w:rPr>
          <w:b/>
          <w:bCs/>
          <w:lang w:val="el" w:eastAsia="el"/>
        </w:rPr>
        <w:t>Την υπό στοιχεία Α.1196/2019 (Β’ 1762) κοινή απόφαση Υφυπουργού Οικονομικών και Διοικητή της Ανεξάρτητης Αρχής Δημοσίων (Α.Α.Δ.Ε.).</w:t>
      </w:r>
    </w:p>
    <w:p>
      <w:pPr>
        <w:spacing w:before="240" w:after="240"/>
        <w:rPr>
          <w:lang w:val="el" w:eastAsia="el"/>
        </w:rPr>
      </w:pPr>
      <w:r>
        <w:rPr>
          <w:lang w:val="el" w:eastAsia="el"/>
        </w:rPr>
        <w:t xml:space="preserve">2. </w:t>
      </w:r>
      <w:r>
        <w:rPr>
          <w:b/>
          <w:bCs/>
          <w:lang w:val="el" w:eastAsia="el"/>
        </w:rPr>
        <w:t>Τις διατάξεις του ν.4978/2022 «Κύρωση Κώδικα Είσπραξης Δημοσίων Εσόδων» (Α’ 190).</w:t>
      </w:r>
    </w:p>
    <w:p>
      <w:pPr>
        <w:spacing w:before="240" w:after="240"/>
        <w:rPr>
          <w:lang w:val="el" w:eastAsia="el"/>
        </w:rPr>
      </w:pPr>
      <w:r>
        <w:rPr>
          <w:lang w:val="el" w:eastAsia="el"/>
        </w:rPr>
        <w:t xml:space="preserve">3. </w:t>
      </w:r>
      <w:r>
        <w:rPr>
          <w:b/>
          <w:bCs/>
          <w:lang w:val="el" w:eastAsia="el"/>
        </w:rPr>
        <w:t>Τις διατάξεις του ν. 4987/2022 «Κύρωση Κώδικα Φορολογικής Διαδικασίας» (Α’ 206).</w:t>
      </w:r>
    </w:p>
    <w:p>
      <w:pPr>
        <w:spacing w:before="240" w:after="240"/>
        <w:rPr>
          <w:lang w:val="el" w:eastAsia="el"/>
        </w:rPr>
      </w:pPr>
      <w:r>
        <w:rPr>
          <w:lang w:val="el" w:eastAsia="el"/>
        </w:rPr>
        <w:t xml:space="preserve">4. </w:t>
      </w:r>
      <w:r>
        <w:rPr>
          <w:b/>
          <w:bCs/>
          <w:lang w:val="el" w:eastAsia="el"/>
        </w:rPr>
        <w:t>Το π.δ. 142/2017 «Οργανισμός Υπουργείου Οικονομικών» ( Α’ 181 ).</w:t>
      </w:r>
    </w:p>
    <w:p>
      <w:pPr>
        <w:spacing w:before="240" w:after="240"/>
        <w:rPr>
          <w:lang w:val="el" w:eastAsia="el"/>
        </w:rPr>
      </w:pPr>
      <w:r>
        <w:rPr>
          <w:lang w:val="el" w:eastAsia="el"/>
        </w:rPr>
        <w:t xml:space="preserve">5.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6. </w:t>
      </w:r>
      <w:r>
        <w:rPr>
          <w:b/>
          <w:bCs/>
          <w:lang w:val="el" w:eastAsia="el"/>
        </w:rPr>
        <w:t>Τις διατάξεις του ν. 4389/2016 «Επείγουσες διατάξεις για την εφαρμογή της συμφωνίας δημοσιονομικών στόχων και διαρθρωτικών μεταρρυθμίσεων και άλλες διατάξεις» ( Α’ 94) και ιδίως το άρθρο 41.</w:t>
      </w:r>
    </w:p>
    <w:p>
      <w:pPr>
        <w:spacing w:before="240" w:after="240"/>
        <w:rPr>
          <w:lang w:val="el" w:eastAsia="el"/>
        </w:rPr>
      </w:pPr>
      <w:r>
        <w:rPr>
          <w:lang w:val="el" w:eastAsia="el"/>
        </w:rPr>
        <w:t xml:space="preserve">7. </w:t>
      </w:r>
      <w:r>
        <w:rPr>
          <w:b/>
          <w:bCs/>
          <w:lang w:val="el" w:eastAsia="el"/>
        </w:rPr>
        <w:t>Την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και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8. </w:t>
      </w:r>
      <w:r>
        <w:rPr>
          <w:b/>
          <w:bCs/>
          <w:lang w:val="el" w:eastAsia="el"/>
        </w:rPr>
        <w:t>Το π.δ. 79/2023 «Διορισμός Υπουργών, Αναπληρωτών Υπουργών και Υφυπουργών» (Α΄131).</w:t>
      </w:r>
    </w:p>
    <w:p>
      <w:pPr>
        <w:spacing w:before="240" w:after="240"/>
        <w:rPr>
          <w:lang w:val="el" w:eastAsia="el"/>
        </w:rPr>
      </w:pPr>
      <w:r>
        <w:rPr>
          <w:b/>
          <w:bCs/>
          <w:lang w:val="el" w:eastAsia="el"/>
        </w:rPr>
        <w:t>Την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lang w:val="el" w:eastAsia="el"/>
        </w:rPr>
        <w:t xml:space="preserve">10. </w:t>
      </w:r>
      <w:r>
        <w:rPr>
          <w:b/>
          <w:bCs/>
          <w:lang w:val="el" w:eastAsia="el"/>
        </w:rPr>
        <w:t>Την ανάγκη καθορισμού της δυνατότητας απώλειας των ρυθμίσεων κατά τις διατάξεις των άρθρων 98-109 του ν.4611/2019 και κεντρικά μέσω των Πληροφοριακών Συστημάτων της Α.Α.Δ.Ε..</w:t>
      </w:r>
    </w:p>
    <w:p>
      <w:pPr>
        <w:spacing w:before="240" w:after="240"/>
        <w:rPr>
          <w:lang w:val="el" w:eastAsia="el"/>
        </w:rPr>
      </w:pPr>
      <w:r>
        <w:rPr>
          <w:lang w:val="el" w:eastAsia="el"/>
        </w:rPr>
        <w:t xml:space="preserve">11. </w:t>
      </w:r>
      <w:r>
        <w:rPr>
          <w:b/>
          <w:bCs/>
          <w:lang w:val="el" w:eastAsia="el"/>
        </w:rPr>
        <w:t>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ΑΠΟΦΑΣΙΖΟΥΜΕΆΡΘΡΟ ΜΟΝΟ</w:t>
      </w:r>
    </w:p>
    <w:p>
      <w:pPr>
        <w:spacing w:before="240" w:after="240"/>
        <w:rPr>
          <w:lang w:val="el" w:eastAsia="el"/>
        </w:rPr>
      </w:pPr>
      <w:r>
        <w:rPr>
          <w:b/>
          <w:bCs/>
          <w:lang w:val="el" w:eastAsia="el"/>
        </w:rPr>
        <w:t>Στο τέλος του άρθρου 2 της υπό στοιχεία Α.1196/2019 κοινής απόφασης του Υφυπουργού Οικονομικών και του Διοικητή της Ανεξάρτητης Αρχής Δημοσίων Εσόδων προστίθεται εδάφιο ως εξής:</w:t>
      </w:r>
    </w:p>
    <w:p>
      <w:pPr>
        <w:spacing w:before="240" w:after="240"/>
        <w:rPr>
          <w:lang w:val="el" w:eastAsia="el"/>
        </w:rPr>
      </w:pPr>
      <w:r>
        <w:rPr>
          <w:b/>
          <w:bCs/>
          <w:lang w:val="el" w:eastAsia="el"/>
        </w:rPr>
        <w:t>«Η απώλεια της ρύθμισης δύναται να συντελείται και κεντρικά μέσω των Πληροφοριακών Συστημάτων της Α.Α.Δ.Ε.».</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ΥΦΥΠΟΥΡΓΟΣ ΟΙΚΟΝΟΜΙΚΩΝ Ο ΔΙΟΙΚΗΤΗΣ ΤΗΣ Α.Α.Δ.Ε</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Α, Β, Γ, Δ</w:t>
      </w:r>
    </w:p>
    <w:p>
      <w:pPr>
        <w:spacing w:before="240" w:after="240"/>
        <w:rPr>
          <w:lang w:val="el" w:eastAsia="el"/>
        </w:rPr>
      </w:pPr>
      <w:r>
        <w:rPr>
          <w:lang w:val="el" w:eastAsia="el"/>
        </w:rPr>
        <w:t xml:space="preserve">5.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Διεύθυνση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Επιχειρησιακού Σχεδιασμού Εισπράξεων και Επιστροφών</w:t>
      </w:r>
    </w:p>
    <w:p>
      <w:pPr>
        <w:spacing w:before="240" w:after="240"/>
        <w:rPr>
          <w:lang w:val="el" w:eastAsia="el"/>
        </w:rPr>
      </w:pPr>
      <w:r>
        <w:rPr>
          <w:lang w:val="el" w:eastAsia="el"/>
        </w:rPr>
        <w:t xml:space="preserve">5.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