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ΕΠΕΙΓΟΥΣΑ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6Π5446ΜΠ3Ζ-0ΥΟ</w:t>
      </w:r>
    </w:p>
    <w:p>
      <w:pPr>
        <w:pStyle w:val="Title"/>
        <w:spacing w:before="120" w:after="360"/>
        <w:rPr>
          <w:lang w:val="el" w:eastAsia="el"/>
        </w:rPr>
      </w:pPr>
      <w:r>
        <w:rPr>
          <w:b/>
          <w:bCs/>
          <w:lang w:val="el" w:eastAsia="el"/>
        </w:rPr>
        <w:t>Αριθ. ΦΕΚ: 4777/B/28.7.2023</w:t>
      </w:r>
    </w:p>
    <w:p>
      <w:pPr>
        <w:pStyle w:val="Title"/>
        <w:spacing w:before="120" w:after="360"/>
        <w:rPr>
          <w:lang w:val="el" w:eastAsia="el"/>
        </w:rPr>
      </w:pPr>
      <w:r>
        <w:rPr>
          <w:b/>
          <w:bCs/>
          <w:lang w:val="el" w:eastAsia="el"/>
        </w:rPr>
        <w:t>Αθήνα,26/7/2023</w:t>
      </w:r>
    </w:p>
    <w:p>
      <w:pPr>
        <w:pStyle w:val="Title"/>
        <w:spacing w:before="120" w:after="360"/>
        <w:rPr>
          <w:lang w:val="el" w:eastAsia="el"/>
        </w:rPr>
      </w:pPr>
      <w:r>
        <w:rPr>
          <w:b/>
          <w:bCs/>
          <w:lang w:val="el" w:eastAsia="el"/>
        </w:rPr>
        <w:t>Αριθ. Πρωτ.: Α.1112</w:t>
      </w:r>
    </w:p>
    <w:p>
      <w:pPr>
        <w:pStyle w:val="Title"/>
        <w:spacing w:before="120" w:after="360"/>
        <w:rPr>
          <w:lang w:val="el" w:eastAsia="el"/>
        </w:rPr>
      </w:pPr>
      <w:r>
        <w:rPr>
          <w:lang w:val="el" w:eastAsia="el"/>
        </w:rPr>
        <w:t xml:space="preserve">2. </w:t>
      </w:r>
      <w:r>
        <w:rPr>
          <w:b/>
          <w:bCs/>
          <w:lang w:val="el" w:eastAsia="el"/>
        </w:rPr>
        <w:t>ΔΙΕΥΘΥΝΣΗ ΕΦΑΡΜΟΓΗΣ ΑΜΕΣΗΣ ΦΟΡΟΛΟΓΙΑΣ</w:t>
      </w:r>
    </w:p>
    <w:p>
      <w:pPr>
        <w:pStyle w:val="Title"/>
        <w:spacing w:before="120" w:after="360"/>
        <w:rPr>
          <w:lang w:val="el" w:eastAsia="el"/>
        </w:rPr>
      </w:pPr>
      <w:r>
        <w:rPr>
          <w:lang w:val="el" w:eastAsia="el"/>
        </w:rPr>
        <w:t xml:space="preserve">3. </w:t>
      </w:r>
      <w:r>
        <w:rPr>
          <w:b/>
          <w:bCs/>
          <w:lang w:val="el" w:eastAsia="el"/>
        </w:rPr>
        <w:t>ΔΙΕΥΘΥΝΣΗ ΕΦΑΡΜΟΓΗΣ ΦΟΡΟΛΟΓΙΑΣ ΚΕΦΑΛΑΙΟΥ &amp; ΠΕΡΙΟΥΣΙΟΛΟΓΙΟΥ</w:t>
      </w:r>
    </w:p>
    <w:p>
      <w:pPr>
        <w:pStyle w:val="Title"/>
        <w:spacing w:before="120" w:after="360"/>
        <w:rPr>
          <w:lang w:val="el" w:eastAsia="el"/>
        </w:rPr>
      </w:pPr>
      <w:r>
        <w:rPr>
          <w:b/>
          <w:bCs/>
          <w:lang w:val="el" w:eastAsia="el"/>
        </w:rPr>
        <w:t>ΙΙ. ΓΕΝΙΚΗ ΔΙΕΥΘΥΝΣΗ ΗΛΕΚΤΡΟΝΙΚΗΣ ΔΙΑΚΥΒΕΡΝΗΣΗΣ</w:t>
      </w:r>
    </w:p>
    <w:p>
      <w:pPr>
        <w:pStyle w:val="Title"/>
        <w:spacing w:before="120" w:after="360"/>
        <w:rPr>
          <w:lang w:val="el" w:eastAsia="el"/>
        </w:rPr>
      </w:pPr>
      <w:r>
        <w:rPr>
          <w:lang w:val="el" w:eastAsia="el"/>
        </w:rPr>
        <w:t xml:space="preserve">1. </w:t>
      </w:r>
      <w:r>
        <w:rPr>
          <w:b/>
          <w:bCs/>
          <w:lang w:val="el" w:eastAsia="el"/>
        </w:rPr>
        <w:t>ΔΙΕΥΘΥΝΣΗ ΕΠΙΧΕΙΡΗΣΙΑΚΩΝ ΔΙΑΔΙΚΑΣΙΩΝ</w:t>
      </w:r>
    </w:p>
    <w:p>
      <w:pPr>
        <w:pStyle w:val="Title"/>
        <w:spacing w:before="120" w:after="360"/>
        <w:rPr>
          <w:lang w:val="el" w:eastAsia="el"/>
        </w:rPr>
      </w:pPr>
      <w:r>
        <w:rPr>
          <w:lang w:val="el" w:eastAsia="el"/>
        </w:rPr>
        <w:t xml:space="preserve">2. </w:t>
      </w:r>
      <w:r>
        <w:rPr>
          <w:b/>
          <w:bCs/>
          <w:lang w:val="el" w:eastAsia="el"/>
        </w:rPr>
        <w:t>ΔΙΕΥΘΥΝΣΗ ΑΝΑΠΤΥΞΗΣ ΦΟΡΟΛΟΓΙΚΩΝ ΕΦΑΡΜΟΓΩΝ</w:t>
      </w:r>
    </w:p>
    <w:p>
      <w:pPr>
        <w:pStyle w:val="Title"/>
        <w:spacing w:before="120" w:after="360"/>
        <w:rPr>
          <w:lang w:val="el" w:eastAsia="el"/>
        </w:rPr>
      </w:pPr>
      <w:r>
        <w:rPr>
          <w:b/>
          <w:bCs/>
          <w:lang w:val="el" w:eastAsia="el"/>
        </w:rPr>
        <w:t>Ταχ. Δ/νση : Καρ. Σερβίας 10,</w:t>
      </w:r>
    </w:p>
    <w:p>
      <w:pPr>
        <w:pStyle w:val="Title"/>
        <w:spacing w:before="120" w:after="360"/>
        <w:rPr>
          <w:lang w:val="el" w:eastAsia="el"/>
        </w:rPr>
      </w:pPr>
      <w:r>
        <w:rPr>
          <w:b/>
          <w:bCs/>
          <w:lang w:val="el" w:eastAsia="el"/>
        </w:rPr>
        <w:t>Ταχ. Κώδικας : 101 84 Αθήνα</w:t>
      </w:r>
    </w:p>
    <w:p>
      <w:pPr>
        <w:pStyle w:val="Title"/>
        <w:spacing w:before="120" w:after="360"/>
        <w:rPr>
          <w:lang w:val="el" w:eastAsia="el"/>
        </w:rPr>
      </w:pPr>
      <w:r>
        <w:rPr>
          <w:b/>
          <w:bCs/>
          <w:lang w:val="el" w:eastAsia="el"/>
        </w:rPr>
        <w:t>Url :</w:t>
      </w:r>
      <w:hyperlink r:id="rId4"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Θέμα: Παράταση των προθεσμιών εκπλήρωσης των δηλωτικών φορολογικών υποχρεώσεων, παρακρατούμενων φόρων, φόρων μεταβίβασης Κεφαλαίου, ΦΠΑ, τελών και λοιπών έμμεσων φόρων για τους υποκείμενους στον φόρο που έχουν την έδρα ή υποκατάστημα της επιχειρηματικής τους δραστηριότητας ή την κατοικία τους στις περιοχές που επλήγησαν από πυρκαγιές τον Ιούλιο 2023.</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spacing w:before="240" w:after="240"/>
        <w:rPr>
          <w:lang w:val="el" w:eastAsia="el"/>
        </w:rPr>
      </w:pPr>
      <w:r>
        <w:rPr>
          <w:b/>
          <w:bCs/>
          <w:lang w:val="el" w:eastAsia="el"/>
        </w:rPr>
        <w:t>α. της παρ. 5 του άρθρου 22 του ν. 2020/1992 (Α΄34).</w:t>
      </w:r>
    </w:p>
    <w:p>
      <w:pPr>
        <w:spacing w:before="240" w:after="240"/>
        <w:rPr>
          <w:lang w:val="el" w:eastAsia="el"/>
        </w:rPr>
      </w:pPr>
      <w:r>
        <w:rPr>
          <w:b/>
          <w:bCs/>
          <w:lang w:val="el" w:eastAsia="el"/>
        </w:rPr>
        <w:t>β. της περ. β΄ της παρ. 12 του άρθρου 38 του Κώδικα Φόρου Προστιθέμενης Αξίας (ν 2859/2000 Α’ 248), σε συνδυασμό με τις διατάξεις της περ. α΄ της παρ. 3 του άρθρου 41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γ. της περ. β΄ της παρ. 4 και των παρ.5,5α και 5β του άρθρου 36 και του άρθρου 38 του Κώδικα Φόρου Προστιθέμενης Αξίας (ν. 2859/2000 Α’ 248).</w:t>
      </w:r>
    </w:p>
    <w:p>
      <w:pPr>
        <w:spacing w:before="240" w:after="240"/>
        <w:rPr>
          <w:lang w:val="el" w:eastAsia="el"/>
        </w:rPr>
      </w:pPr>
      <w:r>
        <w:rPr>
          <w:b/>
          <w:bCs/>
          <w:lang w:val="el" w:eastAsia="el"/>
        </w:rPr>
        <w:t>δ. του ν. 4987/2022 «Κύρωση Κώδικα Φορολογικής Διαδικασίας (ΚΦΔ) (Α 206) και ιδίως των άρθρων 18, 31 και 41 αυτού.</w:t>
      </w:r>
    </w:p>
    <w:p>
      <w:pPr>
        <w:spacing w:before="240" w:after="240"/>
        <w:rPr>
          <w:lang w:val="el" w:eastAsia="el"/>
        </w:rPr>
      </w:pPr>
      <w:r>
        <w:rPr>
          <w:b/>
          <w:bCs/>
          <w:lang w:val="el" w:eastAsia="el"/>
        </w:rPr>
        <w:t>ε. των άρθρων 60, 64 και 69 του ν.4172/2013 (Α΄167).</w:t>
      </w:r>
    </w:p>
    <w:p>
      <w:pPr>
        <w:spacing w:before="240" w:after="240"/>
        <w:rPr>
          <w:lang w:val="el" w:eastAsia="el"/>
        </w:rPr>
      </w:pPr>
      <w:r>
        <w:rPr>
          <w:b/>
          <w:bCs/>
          <w:lang w:val="el" w:eastAsia="el"/>
        </w:rPr>
        <w:t>στ. του Κώδικα Διατάξεων Φορολογίας Κληρονομιών, Δωρεών, Γονικών Παροχών και Κερδών από Τυχερά Παίγνια, ο οποίος κυρώθηκε με το πρώτο άρθρο του ν.2961/2001 (Α΄266), ζ. του α.ν. 1521/1950 « Περί φόρου μεταβιβάσεως ακινήτων» (Α΄245), ο οποίος κυρώθηκε με το πρώτο άρθρο του ν. 1587/1950 (Α΄294).</w:t>
      </w:r>
    </w:p>
    <w:p>
      <w:pPr>
        <w:spacing w:before="240" w:after="240"/>
        <w:rPr>
          <w:lang w:val="el" w:eastAsia="el"/>
        </w:rPr>
      </w:pPr>
      <w:r>
        <w:rPr>
          <w:b/>
          <w:bCs/>
          <w:lang w:val="el" w:eastAsia="el"/>
        </w:rPr>
        <w:t xml:space="preserve">2. </w:t>
      </w:r>
      <w:r>
        <w:rPr>
          <w:b/>
          <w:bCs/>
          <w:lang w:val="el" w:eastAsia="el"/>
        </w:rPr>
        <w:t>Την υπό στοιχεία Α.1137/2020 απόφαση του Διοικητή της Ανεξάρτητης Αρχής Δημοσίων Εσόδων (ΑΑΔΕ) «Καθορισμός της διαδικασίας υποβολής δηλώσεων φορολογίας κεφαλαίου, κοινοποίησης των πράξεων προσδιορισμού του φόρου και λήψης πιστοποιητικών των φορολογιών κεφαλαίου» (Β΄2423).</w:t>
      </w:r>
    </w:p>
    <w:p>
      <w:pPr>
        <w:spacing w:before="240" w:after="240"/>
        <w:rPr>
          <w:lang w:val="el" w:eastAsia="el"/>
        </w:rPr>
      </w:pPr>
      <w:r>
        <w:rPr>
          <w:b/>
          <w:bCs/>
          <w:lang w:val="el" w:eastAsia="el"/>
        </w:rPr>
        <w:t xml:space="preserve">3. </w:t>
      </w:r>
      <w:r>
        <w:rPr>
          <w:b/>
          <w:bCs/>
          <w:lang w:val="el" w:eastAsia="el"/>
        </w:rPr>
        <w:t>Την υπό στοιχεία Α. 1054/2022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 2154).</w:t>
      </w:r>
    </w:p>
    <w:p>
      <w:pPr>
        <w:spacing w:before="240" w:after="240"/>
        <w:rPr>
          <w:lang w:val="el" w:eastAsia="el"/>
        </w:rPr>
      </w:pPr>
      <w:r>
        <w:rPr>
          <w:b/>
          <w:bCs/>
          <w:lang w:val="el" w:eastAsia="el"/>
        </w:rPr>
        <w:t xml:space="preserve">4. </w:t>
      </w:r>
      <w:r>
        <w:rPr>
          <w:b/>
          <w:bCs/>
          <w:lang w:val="el" w:eastAsia="el"/>
        </w:rPr>
        <w:t>Την υπό στοιχεία ΠΟΛ.1027/2014 απόφαση ΓΓΔΕ «Παρακράτηση φόρου στα εισοδήματα εργοληπτών κατασκευής κάθε είδους τεχνικών έργων και ενοικιαστών δημοσίων, δημοτικών και κοινοτικών ή λιμενικών προσόδων σύμφωνα με τις διατάξεις της περ. δ' της παρ. 1 του άρθρου 64 του ν. 4172/2013 καθώς και χρόνος και τρόπος απόδοσης του» (Β' 211).</w:t>
      </w:r>
    </w:p>
    <w:p>
      <w:pPr>
        <w:spacing w:before="240" w:after="240"/>
        <w:rPr>
          <w:lang w:val="el" w:eastAsia="el"/>
        </w:rPr>
      </w:pPr>
      <w:r>
        <w:rPr>
          <w:b/>
          <w:bCs/>
          <w:lang w:val="el" w:eastAsia="el"/>
        </w:rPr>
        <w:t xml:space="preserve">5. </w:t>
      </w:r>
      <w:r>
        <w:rPr>
          <w:b/>
          <w:bCs/>
          <w:lang w:val="el" w:eastAsia="el"/>
        </w:rPr>
        <w:t>Την υπό στοιχεία ΠΟΛ 1028/2014 απόφαση ΓΓΔΕ «Παρακράτηση φόρου από τους φορείς γενικής κυβέρνησης, κατά την προμήθεια κάθε είδους αγαθών ή παροχής υπηρεσιών, σύμφωνα με τις διατάξεις της παρ. 2 του άρθρου 64 του ν. 4172/2013 καθώς και χρόνος και τρόπος απόδοσης του» (Β' 245).</w:t>
      </w:r>
    </w:p>
    <w:p>
      <w:pPr>
        <w:spacing w:before="240" w:after="240"/>
        <w:rPr>
          <w:lang w:val="el" w:eastAsia="el"/>
        </w:rPr>
      </w:pPr>
      <w:r>
        <w:rPr>
          <w:b/>
          <w:bCs/>
          <w:lang w:val="el" w:eastAsia="el"/>
        </w:rPr>
        <w:t xml:space="preserve">6. </w:t>
      </w:r>
      <w:r>
        <w:rPr>
          <w:b/>
          <w:bCs/>
          <w:lang w:val="el" w:eastAsia="el"/>
        </w:rPr>
        <w:t>Την υπό στοιχεία Α.1099/2019 απόφαση του Διοικητή της Ανεξάρτητης Αρχής Δημοσίων Εσόδων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μισθωτή εργασία και συντάξεις» (Β' 949).</w:t>
      </w:r>
    </w:p>
    <w:p>
      <w:pPr>
        <w:spacing w:before="240" w:after="240"/>
        <w:rPr>
          <w:lang w:val="el" w:eastAsia="el"/>
        </w:rPr>
      </w:pPr>
      <w:r>
        <w:rPr>
          <w:b/>
          <w:bCs/>
          <w:lang w:val="el" w:eastAsia="el"/>
        </w:rPr>
        <w:t xml:space="preserve">7. </w:t>
      </w:r>
      <w:r>
        <w:rPr>
          <w:b/>
          <w:bCs/>
          <w:lang w:val="el" w:eastAsia="el"/>
        </w:rPr>
        <w:t>Την υπό στοιχεία Α.1100/2019 απόφαση του Διοικητή της Ανεξάρτητης Αρχής Δημοσίων Εσόδων «Καθορισμός του ηλεκτρονικού τρόπου υποβολής, καθώς και του τύπου και περιεχομένου της δήλωσης απόδοσης του παρακρατούμενου φόρου στα εισοδήματα από μερίσματα, τόκους και δικαιώματα με βάση τις διατάξεις του άρθρου 64 του ν. 4172/2013» (Β' 951).</w:t>
      </w:r>
    </w:p>
    <w:p>
      <w:pPr>
        <w:spacing w:before="240" w:after="240"/>
        <w:rPr>
          <w:lang w:val="el" w:eastAsia="el"/>
        </w:rPr>
      </w:pPr>
      <w:r>
        <w:rPr>
          <w:b/>
          <w:bCs/>
          <w:lang w:val="el" w:eastAsia="el"/>
        </w:rPr>
        <w:t xml:space="preserve">8. </w:t>
      </w:r>
      <w:r>
        <w:rPr>
          <w:b/>
          <w:bCs/>
          <w:lang w:val="el" w:eastAsia="el"/>
        </w:rPr>
        <w:t>Την υπό στοιχεία Α.1101/2019 «Καθορισμός του ηλεκτρονικού τρόπου υποβολής, καθώς και του τύπου και περιεχομένου της δήλωσης απόδοσης του παρακρατούμενου φόρου, σύμφωνα με τις διατάξεις, της περ. δ' της παρ. 1 του άρθρου 64 και των περ. α' και γ' της παρ. 5 του άρθρου 69 του ν. 4172/2013» (Β' 948).</w:t>
      </w:r>
    </w:p>
    <w:p>
      <w:pPr>
        <w:spacing w:before="240" w:after="240"/>
        <w:rPr>
          <w:lang w:val="el" w:eastAsia="el"/>
        </w:rPr>
      </w:pPr>
      <w:r>
        <w:rPr>
          <w:b/>
          <w:bCs/>
          <w:lang w:val="el" w:eastAsia="el"/>
        </w:rPr>
        <w:t xml:space="preserve">9. </w:t>
      </w:r>
      <w:r>
        <w:rPr>
          <w:b/>
          <w:bCs/>
          <w:lang w:val="el" w:eastAsia="el"/>
        </w:rPr>
        <w:t>Την υπό στοιχεία Α.1204/2020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αμοιβές πληρωμάτων εμπορικού ναυτικού» (Β' 3972).</w:t>
      </w:r>
    </w:p>
    <w:p>
      <w:pPr>
        <w:spacing w:before="240" w:after="240"/>
        <w:rPr>
          <w:lang w:val="el" w:eastAsia="el"/>
        </w:rPr>
      </w:pPr>
      <w:r>
        <w:rPr>
          <w:b/>
          <w:bCs/>
          <w:lang w:val="el" w:eastAsia="el"/>
        </w:rPr>
        <w:t xml:space="preserve">10. </w:t>
      </w:r>
      <w:r>
        <w:rPr>
          <w:b/>
          <w:bCs/>
          <w:lang w:val="el" w:eastAsia="el"/>
        </w:rPr>
        <w:t>του Κεφαλαίου Α’ «Σύσταση Ανεξάρτητης Αρχής Δημοσίων Εσόδων» του Μέρους Πρώτου του ν. 4389/2016 (Α΄ 94) και ειδικότερα του άρθρου 7, της παραγράφου 1 του άρθρου 14 και του άρθρου 41 αυτού.</w:t>
      </w:r>
    </w:p>
    <w:p>
      <w:pPr>
        <w:spacing w:before="240" w:after="240"/>
        <w:rPr>
          <w:lang w:val="el" w:eastAsia="el"/>
        </w:rPr>
      </w:pPr>
      <w:r>
        <w:rPr>
          <w:b/>
          <w:bCs/>
          <w:lang w:val="el" w:eastAsia="el"/>
        </w:rPr>
        <w:t xml:space="preserve">11. </w:t>
      </w:r>
      <w:r>
        <w:rPr>
          <w:b/>
          <w:bCs/>
          <w:lang w:val="el" w:eastAsia="el"/>
        </w:rPr>
        <w:t>Την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b/>
          <w:bCs/>
          <w:lang w:val="el" w:eastAsia="el"/>
        </w:rPr>
        <w:t xml:space="preserve">12. </w:t>
      </w:r>
      <w:r>
        <w:rPr>
          <w:b/>
          <w:bCs/>
          <w:lang w:val="el" w:eastAsia="el"/>
        </w:rPr>
        <w:t>Την απόφαση Υφυπουργού Οικονομικών και Διοικητή Α.Α.Δ.Ε. Α.1222/2020 (Β' 4274) «Τύπος, περιεχόμενο, τρόπος και χρόνος υποβολής του ανακεφαλαιωτικού πίνακα ενδοκοινοτικών παραδόσεων αγαθών και παροχών υπηρεσιών - αποθεμάτων στη διάθεση συγκεκριμένου πελάτη σε άλλο κ-μ (έντυπο Φ4/ΤΑXIS, Φ.Π.Α., έκδοση 2020). Τύπος, περιεχόμενο, τρόπος και χρόνος υποβολής του ανακεφαλαιωτικού πίνακα ενδοκοινοτικών αποκτήσεων αγαθών και λήψεων υπηρεσιών (έντυπο Φ5/ΤΑXIS, Φ.Π.Α., έκδοση 2020)».</w:t>
      </w:r>
    </w:p>
    <w:p>
      <w:pPr>
        <w:spacing w:before="240" w:after="240"/>
        <w:rPr>
          <w:lang w:val="el" w:eastAsia="el"/>
        </w:rPr>
      </w:pPr>
      <w:r>
        <w:rPr>
          <w:b/>
          <w:bCs/>
          <w:lang w:val="el" w:eastAsia="el"/>
        </w:rPr>
        <w:t xml:space="preserve">13.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b/>
          <w:bCs/>
          <w:lang w:val="el" w:eastAsia="el"/>
        </w:rPr>
        <w:t xml:space="preserve">14.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υπό στοιχεία 5294 ΕΞ 2020/17-1- 2020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15. </w:t>
      </w:r>
      <w:r>
        <w:rPr>
          <w:b/>
          <w:bCs/>
          <w:lang w:val="el" w:eastAsia="el"/>
        </w:rPr>
        <w:t>Την υπό στοιχεία Α2436/21.07.2023 απόφαση του Γενικού Γραμματέα Πολιτικής Προστασίας για την κήρυξη σε κατάσταση Έκτακτης Ανάγκης Πολιτικής Προστασίας των Δημοτικών Κοινοτήτων Πύλης και Στεφάνης της Δημοτικής Ενότητας Δερβενοχωρίων του Δήμου Τανάγρας της Περιφερειακής Ενότητας Βοιωτίας της Περιφέρειας Στερεάς Ελλάδας.</w:t>
      </w:r>
    </w:p>
    <w:p>
      <w:pPr>
        <w:spacing w:before="240" w:after="240"/>
        <w:rPr>
          <w:lang w:val="el" w:eastAsia="el"/>
        </w:rPr>
      </w:pPr>
      <w:r>
        <w:rPr>
          <w:b/>
          <w:bCs/>
          <w:lang w:val="el" w:eastAsia="el"/>
        </w:rPr>
        <w:t xml:space="preserve">16. </w:t>
      </w:r>
      <w:r>
        <w:rPr>
          <w:b/>
          <w:bCs/>
          <w:lang w:val="el" w:eastAsia="el"/>
        </w:rPr>
        <w:t>Την υπό στοιχεία Α2431/20.07.2023 απόφαση του Γενικού Γραμματέα Πολιτικής Προστασίας για την κήρυξη σε κατάσταση Έκτακτης Ανάγκης Πολιτικής Προστασίας της Δημοτικής Ενότητας Μαγούλας του Δήμου Ελευσίνας της Περιφερειακής Ενότητας Δυτικής Αττικής της Περιφέρειας Αττικής.</w:t>
      </w:r>
    </w:p>
    <w:p>
      <w:pPr>
        <w:spacing w:before="240" w:after="240"/>
        <w:rPr>
          <w:lang w:val="el" w:eastAsia="el"/>
        </w:rPr>
      </w:pPr>
      <w:r>
        <w:rPr>
          <w:b/>
          <w:bCs/>
          <w:lang w:val="el" w:eastAsia="el"/>
        </w:rPr>
        <w:t xml:space="preserve">17. </w:t>
      </w:r>
      <w:r>
        <w:rPr>
          <w:b/>
          <w:bCs/>
          <w:lang w:val="el" w:eastAsia="el"/>
        </w:rPr>
        <w:t>Την υπό στοιχεία Α2403/20.07.2023 απόφαση του Γενικού Γραμματέα Πολιτικής Προστασίας για την κήρυξη σε κατάσταση Έκτακτης Ανάγκης Πολιτικής Προστασίας των Δημοτικών Ενοτήτων Καμείρου, Ατταβύρου και Λινδίων του Δήμου Ρόδου της Περιφερειακής Ενότητας Ρόδου της Περιφέρειας Νοτίου Αιγαίου.</w:t>
      </w:r>
    </w:p>
    <w:p>
      <w:pPr>
        <w:spacing w:before="240" w:after="240"/>
        <w:rPr>
          <w:lang w:val="el" w:eastAsia="el"/>
        </w:rPr>
      </w:pPr>
      <w:r>
        <w:rPr>
          <w:b/>
          <w:bCs/>
          <w:lang w:val="el" w:eastAsia="el"/>
        </w:rPr>
        <w:t xml:space="preserve">18. </w:t>
      </w:r>
      <w:r>
        <w:rPr>
          <w:b/>
          <w:bCs/>
          <w:lang w:val="el" w:eastAsia="el"/>
        </w:rPr>
        <w:t>Την υπό στοιχεία Α2392/19.07.2023 απόφαση του Γενικού Γραμματέα Πολιτικής Προστασίας για την κήρυξη σε κατάσταση Έκτακτης Ανάγκης Πολιτικής Προστασίας της Δημοτικής Κοινότητας Μάνδρας της Δημοτικής Ενότητας Μάνδρας και της Δημοτικής Κοινότητας Οινόης της Δημοτικής Ενότητας Οινόης του Δήμου Μάνδρας-Ειδυλλίας της Περιφερειακής Ενότητας Δυτικής Αττικής της Περιφέρειας Αττικής.</w:t>
      </w:r>
    </w:p>
    <w:p>
      <w:pPr>
        <w:spacing w:before="240" w:after="240"/>
        <w:rPr>
          <w:lang w:val="el" w:eastAsia="el"/>
        </w:rPr>
      </w:pPr>
      <w:r>
        <w:rPr>
          <w:b/>
          <w:bCs/>
          <w:lang w:val="el" w:eastAsia="el"/>
        </w:rPr>
        <w:t xml:space="preserve">19. </w:t>
      </w:r>
      <w:r>
        <w:rPr>
          <w:b/>
          <w:bCs/>
          <w:lang w:val="el" w:eastAsia="el"/>
        </w:rPr>
        <w:t>Την υπό στοιχεία Α2359/18.07.2023 απόφαση του Γενικού Γραμματέα Πολιτικής Προστασίας για την κήρυξη σε κατάσταση Έκτακτης Ανάγκης Πολιτικής Προστασίας των Δημοτικών Κοινοτήτων Λουτρακίου-Περαχώρας και Ισθμίας της Δημοτικής Ενότητας Λουτρακίου-Περαχώρας και της Δημοτικής Κοινότητας Αγίων Θεοδώρων της Δημοτικής Ενότητας Αγίων Θεοδώρων του Δήμου Λουτρακίου-Περαχώρας-Αγίων Θεοδώρων της Περιφερειακής Ενότητας Κορινθίας της Περιφέρειας Πελοποννήσου.</w:t>
      </w:r>
    </w:p>
    <w:p>
      <w:pPr>
        <w:spacing w:before="240" w:after="240"/>
        <w:rPr>
          <w:lang w:val="el" w:eastAsia="el"/>
        </w:rPr>
      </w:pPr>
      <w:r>
        <w:rPr>
          <w:b/>
          <w:bCs/>
          <w:lang w:val="el" w:eastAsia="el"/>
        </w:rPr>
        <w:t xml:space="preserve">20. </w:t>
      </w:r>
      <w:r>
        <w:rPr>
          <w:b/>
          <w:bCs/>
          <w:lang w:val="el" w:eastAsia="el"/>
        </w:rPr>
        <w:t>Την υπό στοιχεία Α2337/18.07.2023 απόφαση του Γενικού Γραμματέα Πολιτικής Προστασίας για την κήρυξη σε κατάσταση Έκτακτης Ανάγκης Πολιτικής Προστασίας της Δημοτικής Κοινότητας Κουβαρά της Δημοτικής Ενότητας Κουβαρά του Δήμου Σαρωνικού της Περιφερειακής Ενότητας Ανατολικής Αττικής της Περιφέρειας Αττικής.</w:t>
      </w:r>
    </w:p>
    <w:p>
      <w:pPr>
        <w:spacing w:before="240" w:after="240"/>
        <w:rPr>
          <w:lang w:val="el" w:eastAsia="el"/>
        </w:rPr>
      </w:pPr>
      <w:r>
        <w:rPr>
          <w:b/>
          <w:bCs/>
          <w:lang w:val="el" w:eastAsia="el"/>
        </w:rPr>
        <w:t xml:space="preserve">22. </w:t>
      </w:r>
      <w:r>
        <w:rPr>
          <w:b/>
          <w:bCs/>
          <w:lang w:val="el" w:eastAsia="el"/>
        </w:rPr>
        <w:t>Την υπό στοιχεία Α2574/25.7.2023 απόφαση του Γενικού Γραμματέα Πολιτικής Προστασίας για την κήρυξη σε κατάσταση Έκτακτης Ανάγκης Πολιτικής Προστασίας της Δημοτικής Κοινότητας Πλατανιστού της Δημοτικής Ενότητας Καρύστου και της Δημοτικής Κοινότητας Κομίτου της Δημοτικής Ενότητας Καφηρέα του Δήμου Καρύστου της Περιφερειακής Ενότητας Εύβοιας της Περιφέρειας Στερεάς Ελλάδας.</w:t>
      </w:r>
    </w:p>
    <w:p>
      <w:pPr>
        <w:spacing w:before="240" w:after="240"/>
        <w:rPr>
          <w:lang w:val="el" w:eastAsia="el"/>
        </w:rPr>
      </w:pPr>
      <w:r>
        <w:rPr>
          <w:b/>
          <w:bCs/>
          <w:lang w:val="el" w:eastAsia="el"/>
        </w:rPr>
        <w:t xml:space="preserve">23. </w:t>
      </w:r>
      <w:r>
        <w:rPr>
          <w:b/>
          <w:bCs/>
          <w:lang w:val="el" w:eastAsia="el"/>
        </w:rPr>
        <w:t>Την υπό στοιχεία Α2538/24.07.2023 απόφαση του Γενικού Γραμματέα Πολιτικής Προστασίας για την κήρυξη σε κατάσταση Έκτακτης Ανάγκης Πολιτικής Προστασίας των Δημοτικών Ενοτήτων Ρόδου, Καλλιθέας, Ιαλυσού, Πεταλούδων, Αφάντου και Αρχαγγέλου του Δήμου Ρόδου της Περιφερειακής Ενότητας Ρόδου της Περιφέρειας Νοτίου Αιγαίου.</w:t>
      </w:r>
    </w:p>
    <w:p>
      <w:pPr>
        <w:spacing w:before="240" w:after="240"/>
        <w:rPr>
          <w:lang w:val="el" w:eastAsia="el"/>
        </w:rPr>
      </w:pPr>
      <w:r>
        <w:rPr>
          <w:b/>
          <w:bCs/>
          <w:lang w:val="el" w:eastAsia="el"/>
        </w:rPr>
        <w:t xml:space="preserve">24. </w:t>
      </w:r>
      <w:r>
        <w:rPr>
          <w:b/>
          <w:bCs/>
          <w:lang w:val="el" w:eastAsia="el"/>
        </w:rPr>
        <w:t>Την ανάγκη εξυπηρέτησης και διευκόλυνσης για την υποβολή δηλώσεων και καταβολή φόρου από τους υπόχρεους που επλήγησαν λόγω των πυρκαγιών που εκδηλώθηκαν τον Ιούλιο 2023 στις ανωτέρω Περιφερειακές Ενότητες και των εκτεταμένων ζημιών που προκλήθηκαν από αυτές και απορρυθμίστηκε η οικονομική και κοινωνική ζωή τους</w:t>
      </w:r>
    </w:p>
    <w:p>
      <w:pPr>
        <w:spacing w:before="240" w:after="240"/>
        <w:rPr>
          <w:lang w:val="el" w:eastAsia="el"/>
        </w:rPr>
      </w:pPr>
      <w:r>
        <w:rPr>
          <w:b/>
          <w:bCs/>
          <w:lang w:val="el" w:eastAsia="el"/>
        </w:rPr>
        <w:t xml:space="preserve">25. </w:t>
      </w:r>
      <w:r>
        <w:rPr>
          <w:b/>
          <w:bCs/>
          <w:lang w:val="el" w:eastAsia="el"/>
        </w:rPr>
        <w:t>Την υπο στοιχεία Α.2479/23-7-2023 απόφαση του Γενικού Γραμματέα Πολιτικής Προστασίας για την κήρυξη σε κατάσταση Έκτακτης Ανάγκης Πολιτικής Προστασίας της Δημοτικής Ενότητας Νοτίου Ρόδου του Δήμου Ρόδου της Περιφερειακής Ενότητας Ρόδου της Περιφέρειας Νοτίου Αιγαίου.</w:t>
      </w:r>
    </w:p>
    <w:p>
      <w:pPr>
        <w:spacing w:before="240" w:after="240"/>
        <w:rPr>
          <w:lang w:val="el" w:eastAsia="el"/>
        </w:rPr>
      </w:pPr>
      <w:r>
        <w:rPr>
          <w:b/>
          <w:bCs/>
          <w:lang w:val="el" w:eastAsia="el"/>
        </w:rPr>
        <w:t xml:space="preserve">26. </w:t>
      </w:r>
      <w:r>
        <w:rPr>
          <w:b/>
          <w:bCs/>
          <w:lang w:val="el" w:eastAsia="el"/>
        </w:rPr>
        <w:t>Την υπο στοιχεία Α.2422/20-7-2023 απόφαση του Γενικού Γραμματέα Πολιτικής Προστασίας για την κήρυξη σε κατάσταση Έκτακτης Ανάγκης Πολιτικής Προστασίας του Δήμου Μεγαρέων της Περιφερειακής Ενότητας Δυτικής Αττικής της Περιφέρειας Αττικής</w:t>
      </w:r>
    </w:p>
    <w:p>
      <w:pPr>
        <w:spacing w:before="240" w:after="240"/>
        <w:rPr>
          <w:lang w:val="el" w:eastAsia="el"/>
        </w:rPr>
      </w:pPr>
      <w:r>
        <w:rPr>
          <w:b/>
          <w:bCs/>
          <w:lang w:val="el" w:eastAsia="el"/>
        </w:rPr>
        <w:t xml:space="preserve">27.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Α) Παράταση για ανακεφαλαιωτικούς πίνακες, δήλωση Φ.Π.Α., τελών χαρτοσήμου και λοιπών έμμεσων φόρων για τους υποκείμενους συγκεκριμένων περιφερειακών ενοτήτων.</w:t>
      </w:r>
    </w:p>
    <w:p>
      <w:pPr>
        <w:spacing w:before="240" w:after="240"/>
        <w:rPr>
          <w:lang w:val="el" w:eastAsia="el"/>
        </w:rPr>
      </w:pPr>
      <w:r>
        <w:rPr>
          <w:b/>
          <w:bCs/>
          <w:lang w:val="el" w:eastAsia="el"/>
        </w:rPr>
        <w:t xml:space="preserve">1. </w:t>
      </w:r>
      <w:r>
        <w:rPr>
          <w:b/>
          <w:bCs/>
          <w:lang w:val="el" w:eastAsia="el"/>
        </w:rPr>
        <w:t>Παρατείνεται μέχρι και την 31.8.2023 η προθεσμία υποβολής των ανακεφαλαιωτικών πινάκων, των οποίων η καταληκτική προθεσμία υποβολής τους είναι στις 26.7.2023 για υποκείμενους που έχουν την έδρα ή υποκατάστημα της επιχειρηματικής τους δραστηριότητας: α) στις Δημοτικές Κοινότητες Πύλης και Στεφάνης της Δημοτικής Ενότητας Δερβενοχωρίων του Δήμου Τανάγρας της Περιφερειακής Ενότητας Βοιωτίας της Περιφέρειας Στερεάς Ελλάδας, β) της Δημοτικής Ενότητας Μαγούλας του Δήμου Ελευσίνας της Περιφερειακής Ενότητας Δυτικής Αττικής της Περιφέρειας Αττικής,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Δημοτικές Ενότητες Ρόδου, Καλλιθέας, Ιαλυσού, Πεταλούδων, Αφάντου, Αρχαγγέλου, Καμείρου, Ατταβύρου και Λινδίων του Δήμου Ρόδου της Περιφερειακής Ενότητας Ρόδου της Περιφέρειας Νοτίου Αιγαίου,</w:t>
      </w:r>
    </w:p>
    <w:p>
      <w:pPr>
        <w:pStyle w:val="StructureList1"/>
        <w:spacing w:before="120" w:after="0"/>
        <w:rPr>
          <w:lang w:val="el" w:eastAsia="el"/>
        </w:rPr>
      </w:pPr>
      <w:r>
        <w:rPr>
          <w:b/>
          <w:bCs/>
          <w:lang w:val="el" w:eastAsia="el"/>
        </w:rPr>
        <w:t>δ)</w:t>
      </w:r>
      <w:r>
        <w:rPr>
          <w:b/>
          <w:bCs/>
          <w:lang w:val="en" w:eastAsia="en"/>
        </w:rPr>
        <w:tab/>
      </w:r>
      <w:r>
        <w:rPr>
          <w:b/>
          <w:bCs/>
          <w:lang w:val="el" w:eastAsia="el"/>
        </w:rPr>
        <w:t>της Δημοτικής Κοινότητας Μάνδρας της Δημοτικής Ενότητας Μάνδρας και της Δημοτικής Κοινότητας Οινόης της Δημοτικής Ενότητας Οινόης του Δήμου Μάνδρας-Ειδυλλίας της Περιφερειακής Ενότητας Δυτικής Αττικής της Περιφέρειας Αττικής,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Δημοτικές Κοινότητες Λουτρακίου-Περαχώρας και Ισθμίας της Δημοτικής Ενότητας Λουτρακίου-Περαχώρας και της Δημοτικής Κοινότητας Αγίων Θεοδώρων της Δημοτικής Ενότητας Αγίων Θεοδώρων του Δήμου Λουτρακίου-Περαχώρας-Αγίων Θεοδώρων της Περιφερειακής Ενότητας Κορινθίας της Περιφέρειας Πελοποννήσου,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στη Δημοτική Κοινότητας Κουβαρά της Δημοτικής Ενότητας Κουβαρά του Δήμου Σαρωνικού της Περιφερειακής Ενότητας Ανατολικής Αττικής της Περιφέρειας Αττικής</w:t>
      </w:r>
    </w:p>
    <w:p>
      <w:pPr>
        <w:pStyle w:val="StructureList1"/>
        <w:spacing w:before="120" w:after="0"/>
        <w:rPr>
          <w:lang w:val="el" w:eastAsia="el"/>
        </w:rPr>
      </w:pPr>
      <w:r>
        <w:rPr>
          <w:b/>
          <w:bCs/>
          <w:lang w:val="el" w:eastAsia="el"/>
        </w:rPr>
        <w:t>ζ)</w:t>
      </w:r>
      <w:r>
        <w:rPr>
          <w:b/>
          <w:bCs/>
          <w:lang w:val="en" w:eastAsia="en"/>
        </w:rPr>
        <w:tab/>
      </w:r>
      <w:r>
        <w:rPr>
          <w:b/>
          <w:bCs/>
          <w:lang w:val="el" w:eastAsia="el"/>
        </w:rPr>
        <w:t>της Δημοτικής Κοινότητας Πλατανιστού της Δημοτικής Ενότητας Καρύστου και της Δημοτικής Κοινότητας Κομίτου της Δημοτικής Ενότητας Καφηρέα του Δήμου Καρύστου της Περιφερειακής Ενότητας Εύβοιας της Περιφέρειας Στερεάς Ελλάδας.</w:t>
      </w:r>
    </w:p>
    <w:p>
      <w:pPr>
        <w:pStyle w:val="StructureList1"/>
        <w:spacing w:before="120" w:after="0"/>
        <w:rPr>
          <w:lang w:val="el" w:eastAsia="el"/>
        </w:rPr>
      </w:pPr>
      <w:r>
        <w:rPr>
          <w:b/>
          <w:bCs/>
          <w:lang w:val="el" w:eastAsia="el"/>
        </w:rPr>
        <w:t>η)</w:t>
      </w:r>
      <w:r>
        <w:rPr>
          <w:b/>
          <w:bCs/>
          <w:lang w:val="en" w:eastAsia="en"/>
        </w:rPr>
        <w:tab/>
      </w:r>
      <w:r>
        <w:rPr>
          <w:b/>
          <w:bCs/>
          <w:lang w:val="el" w:eastAsia="el"/>
        </w:rPr>
        <w:t>της Δημοτικής Ενότητας Νοτίου Ρόδου του Δήμου Ρόδου της Περιφερειακής Ενότητας Ρόδου της Περιφέρειας Νοτίου Αιγαίου.</w:t>
      </w:r>
    </w:p>
    <w:p>
      <w:pPr>
        <w:spacing w:before="240" w:after="240"/>
        <w:rPr>
          <w:lang w:val="el" w:eastAsia="el"/>
        </w:rPr>
      </w:pPr>
      <w:r>
        <w:rPr>
          <w:b/>
          <w:bCs/>
          <w:lang w:val="el" w:eastAsia="el"/>
        </w:rPr>
        <w:t>Θ) του Δήμου Μεγαρέων της Περιφερειακής Ενότητας Δυτικής Αττικής της Περιφέρειας Αττικής</w:t>
      </w:r>
    </w:p>
    <w:p>
      <w:pPr>
        <w:spacing w:before="240" w:after="240"/>
        <w:rPr>
          <w:lang w:val="el" w:eastAsia="el"/>
        </w:rPr>
      </w:pPr>
      <w:r>
        <w:rPr>
          <w:b/>
          <w:bCs/>
          <w:lang w:val="el" w:eastAsia="el"/>
        </w:rPr>
        <w:t xml:space="preserve">2. </w:t>
      </w:r>
      <w:r>
        <w:rPr>
          <w:b/>
          <w:bCs/>
          <w:lang w:val="el" w:eastAsia="el"/>
        </w:rPr>
        <w:t>Παρατείνονται μέχρι και την 31.8.2023 για τους ανωτέρω υποκειμένους: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υποβολής των δηλώσεων ΦΠΑ, των οποίων η καταληκτική προθεσμία υποβολής τους είναι στις 31.7.2023 και η προθεσμία καταβολής του φόρου που τυχόν προκύπτει από αυτές μέχρι και 31.8.2023 Η ιδία ημερομηνία (31.8.2023) είναι καταληκτική και για τις δύο δόσεις στην περίπτωση επιλογής καταβολής του οφειλόμενου ποσού σε δόσεις.</w:t>
      </w:r>
    </w:p>
    <w:p>
      <w:pPr>
        <w:spacing w:before="240" w:after="240"/>
        <w:rPr>
          <w:lang w:val="el" w:eastAsia="el"/>
        </w:rPr>
      </w:pPr>
      <w:r>
        <w:rPr>
          <w:b/>
          <w:bCs/>
          <w:lang w:val="el" w:eastAsia="el"/>
        </w:rPr>
        <w:t xml:space="preserve">3. </w:t>
      </w:r>
      <w:r>
        <w:rPr>
          <w:b/>
          <w:bCs/>
          <w:lang w:val="el" w:eastAsia="el"/>
        </w:rPr>
        <w:t>Παράταση τελών χαρτοσήμου και λοιπών εμμέσων φόρων, τελών και εισφορών υπέρ του Δημοσίου ή τρίτων με καταληκτική προθεσμία από 26/7/2023 έως την 31/7/2023.</w:t>
      </w:r>
    </w:p>
    <w:p>
      <w:pPr>
        <w:spacing w:before="240" w:after="240"/>
        <w:rPr>
          <w:lang w:val="el" w:eastAsia="el"/>
        </w:rPr>
      </w:pPr>
      <w:r>
        <w:rPr>
          <w:b/>
          <w:bCs/>
          <w:lang w:val="el" w:eastAsia="el"/>
        </w:rPr>
        <w:t>Παρατείνεται μέχρι και την 31.8.2023 η προθεσμία απόδοσης των τελών χαρτοσήμου και υποβολής των δηλώσεων λοιπών εμμέσων φόρων, τελών και εισφορών υπέρ του Δημοσίου ή τρίτων που έχουν καταληκτική ημερομηνία από 26/7/2023 έως την 31/7/2023.</w:t>
      </w:r>
    </w:p>
    <w:p>
      <w:pPr>
        <w:spacing w:before="240" w:after="240"/>
        <w:rPr>
          <w:lang w:val="el" w:eastAsia="el"/>
        </w:rPr>
      </w:pPr>
      <w:r>
        <w:rPr>
          <w:b/>
          <w:bCs/>
          <w:lang w:val="el" w:eastAsia="el"/>
        </w:rPr>
        <w:t xml:space="preserve">4. </w:t>
      </w:r>
      <w:r>
        <w:rPr>
          <w:b/>
          <w:bCs/>
          <w:lang w:val="el" w:eastAsia="el"/>
        </w:rPr>
        <w:t>Οι ανωτέρω δηλώσεις καθώς και οι ανακεφαλαιωτικοί πίνακες ενδοκοινοτικών συναλλαγών υποβάλλονται, σύμφωνα με τις ισχύουσες αποφάσεις.</w:t>
      </w:r>
    </w:p>
    <w:p>
      <w:pPr>
        <w:spacing w:before="240" w:after="240"/>
        <w:rPr>
          <w:lang w:val="el" w:eastAsia="el"/>
        </w:rPr>
      </w:pPr>
      <w:r>
        <w:rPr>
          <w:b/>
          <w:bCs/>
          <w:lang w:val="el" w:eastAsia="el"/>
        </w:rPr>
        <w:t>Β) Παράταση για δήλωση απόδοσης παρακρατούμενων φόρων</w:t>
      </w:r>
    </w:p>
    <w:p>
      <w:pPr>
        <w:spacing w:before="240" w:after="240"/>
        <w:rPr>
          <w:lang w:val="el" w:eastAsia="el"/>
        </w:rPr>
      </w:pPr>
      <w:r>
        <w:rPr>
          <w:b/>
          <w:bCs/>
          <w:lang w:val="el" w:eastAsia="el"/>
        </w:rPr>
        <w:t xml:space="preserve">1. </w:t>
      </w:r>
      <w:r>
        <w:rPr>
          <w:b/>
          <w:bCs/>
          <w:lang w:val="el" w:eastAsia="el"/>
        </w:rPr>
        <w:t>Οι αρχικές δηλώσεις απόδοσης:</w:t>
      </w:r>
    </w:p>
    <w:p>
      <w:pPr>
        <w:pStyle w:val="StructureList1"/>
        <w:spacing w:before="120" w:after="0"/>
        <w:rPr>
          <w:lang w:val="el" w:eastAsia="el"/>
        </w:rPr>
      </w:pPr>
      <w:r>
        <w:rPr>
          <w:b/>
          <w:bCs/>
          <w:lang w:val="el" w:eastAsia="el"/>
        </w:rPr>
        <w:t>α)</w:t>
      </w:r>
      <w:r>
        <w:rPr>
          <w:b/>
          <w:bCs/>
          <w:lang w:val="en" w:eastAsia="en"/>
        </w:rPr>
        <w:tab/>
      </w:r>
      <w:r>
        <w:rPr>
          <w:b/>
          <w:bCs/>
          <w:lang w:val="el" w:eastAsia="el"/>
        </w:rPr>
        <w:t>παρακρατούμενου φόρου στο εισόδημα από μισθωτή εργασία και συντάξεις και β) παρακρατούμενου φόρου των διατάξεων του άρθρου 64 και των περ. α' και γ' της παρ 5 του άρθρου 69 του ν. 4172/2013,</w:t>
      </w:r>
    </w:p>
    <w:p>
      <w:pPr>
        <w:spacing w:before="240" w:after="240"/>
        <w:rPr>
          <w:lang w:val="el" w:eastAsia="el"/>
        </w:rPr>
      </w:pPr>
      <w:r>
        <w:rPr>
          <w:b/>
          <w:bCs/>
          <w:lang w:val="el" w:eastAsia="el"/>
        </w:rPr>
        <w:t>που έχουν καταληκτική ημερομηνία υποβολής την 31η Ιουλίου 2023 υποβάλλονται εμπρόθεσμα μέχρι και την 31.8.2023 για τους υπόχρεους υποβολής που έχουν την έδρα ή υποκατάστημα της επιχειρηματικής τους δραστηριότητας στις περιοχές του Κεφαλαίου Α της παρούσας.</w:t>
      </w:r>
    </w:p>
    <w:p>
      <w:pPr>
        <w:spacing w:before="240" w:after="240"/>
        <w:rPr>
          <w:lang w:val="el" w:eastAsia="el"/>
        </w:rPr>
      </w:pPr>
      <w:r>
        <w:rPr>
          <w:b/>
          <w:bCs/>
          <w:lang w:val="el" w:eastAsia="el"/>
        </w:rPr>
        <w:t xml:space="preserve">2. </w:t>
      </w:r>
      <w:r>
        <w:rPr>
          <w:b/>
          <w:bCs/>
          <w:lang w:val="el" w:eastAsia="el"/>
        </w:rPr>
        <w:t>Οι ανωτέρω δηλώσεις υποβάλλονται ψηφιακά, σύμφωνα με τις ισχύουσες αποφάσεις.</w:t>
      </w:r>
    </w:p>
    <w:p>
      <w:pPr>
        <w:spacing w:before="240" w:after="240"/>
        <w:rPr>
          <w:lang w:val="el" w:eastAsia="el"/>
        </w:rPr>
      </w:pPr>
      <w:r>
        <w:rPr>
          <w:b/>
          <w:bCs/>
          <w:lang w:val="el" w:eastAsia="el"/>
        </w:rPr>
        <w:t>Γ) Παράταση υποβολής δηλώσεων φόρου κληρονομιών, δωρεών, γονικών παροχών, κερδών από τυχερά παίγνια και μεταβίβασης ακινήτων</w:t>
      </w:r>
    </w:p>
    <w:p>
      <w:pPr>
        <w:spacing w:before="240" w:after="240"/>
        <w:rPr>
          <w:lang w:val="el" w:eastAsia="el"/>
        </w:rPr>
      </w:pPr>
      <w:r>
        <w:rPr>
          <w:b/>
          <w:bCs/>
          <w:lang w:val="el" w:eastAsia="el"/>
        </w:rPr>
        <w:t>Οι δηλώσεις των φυσικών και νομικών προσώπων και οντοτήτων, που έχουν την κύρια κατοικία ή κύρια εγκατάσταση (έδρα) στις ανωτέρω περιοχές που έχουν κηρυχθεί σε κατάσταση Έκτακτης Ανάγκης Πολιτικής Προστασίας, για την απόδοση φόρων κληρονομιών, δωρεών, γονικών παροχών, κερδών από τυχερά παίγνια και μεταβίβασης ακινήτων, που έχουν καταληκτική ημερομηνία από την 15.7.2023 υποβάλλονται εμπρόθεσμα, σε έντυπη μορφή είτε μέσω της εφαρμογής «Τα Αιτήματά μου», είτε με τη διαδικασία που καθορίζεται στην υπό στοιχεία Α. 1137/2020 (Β' 2423) απόφαση του Διοικητή της ΑΑΔΕ, όπως ισχύει μετά την Α. 1054/2022 (Β΄2154) απόφαση Διοικητή ΑΑΔΕ, μέχρι και την 31.8.2023</w:t>
      </w:r>
    </w:p>
    <w:p>
      <w:pPr>
        <w:spacing w:before="240" w:after="240"/>
        <w:rPr>
          <w:lang w:val="el" w:eastAsia="el"/>
        </w:rPr>
      </w:pPr>
      <w:r>
        <w:rPr>
          <w:b/>
          <w:bCs/>
          <w:lang w:val="el" w:eastAsia="el"/>
        </w:rPr>
        <w:t>Η παρούσα ισχύει από την ημερομηνία υπογραφής της.</w:t>
      </w:r>
    </w:p>
    <w:p>
      <w:pPr>
        <w:spacing w:before="240" w:after="240"/>
        <w:rPr>
          <w:lang w:val="el" w:eastAsia="el"/>
        </w:rPr>
      </w:pPr>
      <w:r>
        <w:rPr>
          <w:b/>
          <w:bCs/>
          <w:lang w:val="el" w:eastAsia="el"/>
        </w:rPr>
        <w:t>Η παρούσα να δημοσιευθεί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πλην αριθμ. 2 και 3</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 xml:space="preserve">4. </w:t>
      </w:r>
      <w:r>
        <w:rPr>
          <w:b/>
          <w:bCs/>
          <w:lang w:val="el" w:eastAsia="el"/>
        </w:rPr>
        <w:t>Ηλεκτρονικη Βιβλιοθήκη ΑΑΔΕ</w:t>
      </w:r>
    </w:p>
    <w:p>
      <w:pPr>
        <w:spacing w:before="240" w:after="240"/>
        <w:rPr>
          <w:lang w:val="el" w:eastAsia="el"/>
        </w:rPr>
      </w:pPr>
      <w:r>
        <w:rPr>
          <w:b/>
          <w:bCs/>
          <w:lang w:val="el" w:eastAsia="el"/>
        </w:rPr>
        <w:t xml:space="preserve">5.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Α΄ μόνο οι αριθμ. 1 και 4.</w:t>
      </w:r>
    </w:p>
    <w:p>
      <w:pPr>
        <w:spacing w:before="240" w:after="240"/>
        <w:rPr>
          <w:lang w:val="el" w:eastAsia="el"/>
        </w:rPr>
      </w:pPr>
      <w:r>
        <w:rPr>
          <w:b/>
          <w:bCs/>
          <w:lang w:val="el" w:eastAsia="el"/>
        </w:rPr>
        <w:t>Β΄.</w:t>
      </w:r>
    </w:p>
    <w:p>
      <w:pPr>
        <w:spacing w:before="240" w:after="240"/>
        <w:rPr>
          <w:lang w:val="el" w:eastAsia="el"/>
        </w:rPr>
      </w:pPr>
      <w:r>
        <w:rPr>
          <w:b/>
          <w:bCs/>
          <w:lang w:val="el" w:eastAsia="el"/>
        </w:rPr>
        <w:t>Γ΄, μόνο οι αριθμ. 2 και 3.</w:t>
      </w:r>
    </w:p>
    <w:p>
      <w:pPr>
        <w:spacing w:before="240" w:after="240"/>
        <w:rPr>
          <w:lang w:val="el" w:eastAsia="el"/>
        </w:rPr>
      </w:pPr>
      <w:r>
        <w:rPr>
          <w:b/>
          <w:bCs/>
          <w:lang w:val="el" w:eastAsia="el"/>
        </w:rPr>
        <w:t>Ζ΄.</w:t>
      </w:r>
    </w:p>
    <w:p>
      <w:pPr>
        <w:spacing w:before="240" w:after="240"/>
        <w:rPr>
          <w:lang w:val="el" w:eastAsia="el"/>
        </w:rPr>
      </w:pPr>
      <w:r>
        <w:rPr>
          <w:b/>
          <w:bCs/>
          <w:lang w:val="el" w:eastAsia="el"/>
        </w:rPr>
        <w:t>Η΄.</w:t>
      </w:r>
    </w:p>
    <w:p>
      <w:pPr>
        <w:spacing w:before="240" w:after="240"/>
        <w:rPr>
          <w:lang w:val="el" w:eastAsia="el"/>
        </w:rPr>
      </w:pPr>
      <w:r>
        <w:rPr>
          <w:b/>
          <w:bCs/>
          <w:lang w:val="el" w:eastAsia="el"/>
        </w:rPr>
        <w:t>Θ΄ μόνο οι αριθμ 10,16,17</w:t>
      </w:r>
    </w:p>
    <w:p>
      <w:pPr>
        <w:spacing w:before="240" w:after="240"/>
        <w:rPr>
          <w:lang w:val="el" w:eastAsia="el"/>
        </w:rPr>
      </w:pPr>
      <w:r>
        <w:rPr>
          <w:b/>
          <w:bCs/>
          <w:lang w:val="el" w:eastAsia="el"/>
        </w:rPr>
        <w:t>» » ΙΒ΄ΙΓ’,ΙΕ΄,ΙΖ, ΙΗ΄, ΙΣΤ΄, Κ΄, ΚΒ΄, ΚΓ΄,</w:t>
      </w:r>
    </w:p>
    <w:p>
      <w:pPr>
        <w:spacing w:before="240" w:after="240"/>
        <w:rPr>
          <w:lang w:val="el" w:eastAsia="el"/>
        </w:rPr>
      </w:pPr>
      <w:r>
        <w:rPr>
          <w:b/>
          <w:bCs/>
          <w:lang w:val="el" w:eastAsia="el"/>
        </w:rPr>
        <w:t xml:space="preserve">8. </w:t>
      </w:r>
      <w:r>
        <w:rPr>
          <w:b/>
          <w:bCs/>
          <w:lang w:val="el" w:eastAsia="el"/>
        </w:rPr>
        <w:t>Γραφείο Υπουργού Οικονομικών</w:t>
      </w:r>
    </w:p>
    <w:p>
      <w:pPr>
        <w:spacing w:before="240" w:after="240"/>
        <w:rPr>
          <w:lang w:val="el" w:eastAsia="el"/>
        </w:rPr>
      </w:pPr>
      <w:r>
        <w:rPr>
          <w:b/>
          <w:bCs/>
          <w:lang w:val="el" w:eastAsia="el"/>
        </w:rPr>
        <w:t xml:space="preserve">9. </w:t>
      </w:r>
      <w:r>
        <w:rPr>
          <w:b/>
          <w:bCs/>
          <w:lang w:val="el" w:eastAsia="el"/>
        </w:rPr>
        <w:t>Γραφείο Υφυπουργού Οικονομικών</w:t>
      </w:r>
    </w:p>
    <w:p>
      <w:pPr>
        <w:spacing w:before="240" w:after="240"/>
        <w:rPr>
          <w:lang w:val="el" w:eastAsia="el"/>
        </w:rPr>
      </w:pPr>
      <w:r>
        <w:rPr>
          <w:b/>
          <w:bCs/>
          <w:lang w:val="el" w:eastAsia="el"/>
        </w:rPr>
        <w:t xml:space="preserve">10. </w:t>
      </w:r>
      <w:r>
        <w:rPr>
          <w:b/>
          <w:bCs/>
          <w:lang w:val="el" w:eastAsia="el"/>
        </w:rPr>
        <w:t>Γραφείο Γεν. Γραμματέα Φορολογικής Πολιτικής</w:t>
      </w:r>
    </w:p>
    <w:p>
      <w:pPr>
        <w:spacing w:before="240" w:after="240"/>
        <w:rPr>
          <w:lang w:val="el" w:eastAsia="el"/>
        </w:rPr>
      </w:pPr>
      <w:r>
        <w:rPr>
          <w:b/>
          <w:bCs/>
          <w:lang w:val="el" w:eastAsia="el"/>
        </w:rPr>
        <w:t xml:space="preserve">11. </w:t>
      </w:r>
      <w:r>
        <w:rPr>
          <w:b/>
          <w:bCs/>
          <w:lang w:val="el" w:eastAsia="el"/>
        </w:rPr>
        <w:t>Διεύθυνση Φορολογικής Πολίτικης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Διοικητού ΑΑΔΕ</w:t>
      </w:r>
    </w:p>
    <w:p>
      <w:pPr>
        <w:spacing w:before="240" w:after="240"/>
        <w:rPr>
          <w:lang w:val="el" w:eastAsia="el"/>
        </w:rPr>
      </w:pPr>
      <w:r>
        <w:rPr>
          <w:b/>
          <w:bCs/>
          <w:lang w:val="el" w:eastAsia="el"/>
        </w:rPr>
        <w:t xml:space="preserve">2. </w:t>
      </w:r>
      <w:r>
        <w:rPr>
          <w:b/>
          <w:bCs/>
          <w:lang w:val="el" w:eastAsia="el"/>
        </w:rPr>
        <w:t>Γραφείο κ. κ. Γενικών Διευθυντών</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Εφαρμογής Έμμεσης Φορολογίας</w:t>
      </w:r>
    </w:p>
    <w:p>
      <w:pPr>
        <w:spacing w:before="240" w:after="240"/>
        <w:rPr>
          <w:lang w:val="el" w:eastAsia="el"/>
        </w:rPr>
      </w:pPr>
      <w:r>
        <w:rPr>
          <w:b/>
          <w:bCs/>
          <w:lang w:val="el" w:eastAsia="el"/>
        </w:rPr>
        <w:t xml:space="preserve">5. </w:t>
      </w:r>
      <w:r>
        <w:rPr>
          <w:b/>
          <w:bCs/>
          <w:lang w:val="el" w:eastAsia="el"/>
        </w:rPr>
        <w:t>Διεύθυνση Εφαρμογής Φορολογίας Κεφ. και Περιουσιολογίου</w:t>
      </w:r>
    </w:p>
    <w:p>
      <w:pPr>
        <w:spacing w:before="240" w:after="240"/>
        <w:rPr>
          <w:lang w:val="el" w:eastAsia="el"/>
        </w:rPr>
      </w:pPr>
      <w:r>
        <w:rPr>
          <w:b/>
          <w:bCs/>
          <w:lang w:val="el" w:eastAsia="el"/>
        </w:rPr>
        <w:t xml:space="preserve">6. </w:t>
      </w:r>
      <w:r>
        <w:rPr>
          <w:b/>
          <w:bCs/>
          <w:lang w:val="el" w:eastAsia="el"/>
        </w:rPr>
        <w:t>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