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ΕΠΕΙΓΟΥΣΑ</w:t>
      </w:r>
    </w:p>
    <w:p>
      <w:pPr>
        <w:pStyle w:val="Title"/>
        <w:spacing w:before="120" w:after="360"/>
        <w:rPr>
          <w:lang w:val="el" w:eastAsia="el"/>
        </w:rPr>
      </w:pPr>
      <w:r>
        <w:rPr>
          <w:b/>
          <w:bCs/>
          <w:lang w:val="el" w:eastAsia="el"/>
        </w:rPr>
        <w:t>ΑΝΑΡΤΗΤΕΑ ΣΤΟ ΔΙΑΔΙΚΤΥΟ</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Ι. ΓΕΝΙΚΗ ΔΙΕΥΘΥΝΣΗ ΦΟΡΟΛΟΓΙΑΣ</w:t>
      </w:r>
    </w:p>
    <w:p>
      <w:pPr>
        <w:spacing w:before="240" w:after="240"/>
        <w:rPr>
          <w:lang w:val="el" w:eastAsia="el"/>
        </w:rPr>
      </w:pPr>
      <w:r>
        <w:rPr>
          <w:lang w:val="el" w:eastAsia="el"/>
        </w:rPr>
        <w:t xml:space="preserve">1. </w:t>
      </w:r>
      <w:r>
        <w:rPr>
          <w:b/>
          <w:bCs/>
          <w:lang w:val="el" w:eastAsia="el"/>
        </w:rPr>
        <w:t>ΔΙΕΥΘΥΝΣΗ ΕΦΑΡΜΟΓΗΣ ΕΜΜΕΣΗΣ ΦΟΡΟΛΟΓΙΑΣ</w:t>
      </w:r>
    </w:p>
    <w:p>
      <w:pPr>
        <w:spacing w:before="240" w:after="240"/>
        <w:rPr>
          <w:lang w:val="el" w:eastAsia="el"/>
        </w:rPr>
      </w:pPr>
      <w:r>
        <w:rPr>
          <w:lang w:val="el" w:eastAsia="el"/>
        </w:rPr>
        <w:t xml:space="preserve">2. </w:t>
      </w:r>
      <w:r>
        <w:rPr>
          <w:b/>
          <w:bCs/>
          <w:lang w:val="el" w:eastAsia="el"/>
        </w:rPr>
        <w:t>ΔΙΕΥΘΥΝΣΗ ΕΦΑΡΜΟΓΗΣ ΑΜΕΣΗΣ ΦΟΡΟΛΟΓΙΑΣ</w:t>
      </w:r>
    </w:p>
    <w:p>
      <w:pPr>
        <w:spacing w:before="240" w:after="240"/>
        <w:rPr>
          <w:lang w:val="el" w:eastAsia="el"/>
        </w:rPr>
      </w:pPr>
      <w:r>
        <w:rPr>
          <w:lang w:val="el" w:eastAsia="el"/>
        </w:rPr>
        <w:t xml:space="preserve">3. </w:t>
      </w:r>
      <w:r>
        <w:rPr>
          <w:b/>
          <w:bCs/>
          <w:lang w:val="el" w:eastAsia="el"/>
        </w:rPr>
        <w:t>ΔΙΕΥΘΥΝΣΗ ΕΦΑΡΜΟΓΗΣ ΦΟΡΟΛΟΓΙΑΣ ΚΕΦΑΛΑΙΟΥ &amp; ΠΕΡΙΟΥΣΙΟΛΟΓΙΟΥ</w:t>
      </w:r>
    </w:p>
    <w:p>
      <w:pPr>
        <w:spacing w:before="240" w:after="240"/>
        <w:rPr>
          <w:lang w:val="el" w:eastAsia="el"/>
        </w:rPr>
      </w:pPr>
      <w:r>
        <w:rPr>
          <w:b/>
          <w:bCs/>
          <w:lang w:val="el" w:eastAsia="el"/>
        </w:rPr>
        <w:t>ΙΙ. ΓΕΝΙΚΗ ΔΙΕΥΘΥΝΣΗ ΗΛΕΚΤΡΟΝΙΚΗΣ ΔΙΑΚΥΒΕΡΝΗΣΗΣ</w:t>
      </w:r>
    </w:p>
    <w:p>
      <w:pPr>
        <w:spacing w:before="240" w:after="240"/>
        <w:rPr>
          <w:lang w:val="el" w:eastAsia="el"/>
        </w:rPr>
      </w:pPr>
      <w:r>
        <w:rPr>
          <w:lang w:val="el" w:eastAsia="el"/>
        </w:rPr>
        <w:t xml:space="preserve">1. </w:t>
      </w:r>
      <w:r>
        <w:rPr>
          <w:b/>
          <w:bCs/>
          <w:lang w:val="el" w:eastAsia="el"/>
        </w:rPr>
        <w:t>ΔΙΕΥΘΥΝΣΗ ΕΠΙΧΕΙΡΗΣΙΑΚΩΝ ΔΙΑΔΙΚΑΣΙΩΝ</w:t>
      </w:r>
    </w:p>
    <w:p>
      <w:pPr>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 84 Αθήνα</w:t>
      </w:r>
    </w:p>
    <w:p>
      <w:pPr>
        <w:spacing w:before="240" w:after="240"/>
        <w:rPr>
          <w:lang w:val="el" w:eastAsia="el"/>
        </w:rPr>
      </w:pPr>
      <w:r>
        <w:rPr>
          <w:b/>
          <w:bCs/>
          <w:lang w:val="el" w:eastAsia="el"/>
        </w:rPr>
        <w:t>Url :</w:t>
      </w:r>
      <w:hyperlink r:id="rId4" w:history="1">
        <w:r>
          <w:rPr>
            <w:rStyle w:val="Hyperlink"/>
            <w:b/>
            <w:bCs/>
            <w:color w:val="0000EE"/>
            <w:u w:color="0000EE"/>
            <w:lang w:val="el" w:eastAsia="el"/>
          </w:rPr>
          <w:t>www.aade.gr</w:t>
        </w:r>
      </w:hyperlink>
    </w:p>
    <w:p>
      <w:pPr>
        <w:spacing w:before="240" w:after="240"/>
        <w:rPr>
          <w:lang w:val="el" w:eastAsia="el"/>
        </w:rPr>
      </w:pPr>
      <w:r>
        <w:rPr>
          <w:b/>
          <w:bCs/>
          <w:lang w:val="el" w:eastAsia="el"/>
        </w:rPr>
        <w:t>Θέμα: «Παράταση των προθεσμιών εκπλήρωσης των δηλωτικών φορολογικών υποχρεώσεων, παρακρατούμενων φόρων, φόρων μεταβίβασης Κεφαλαίου, ΦΠΑ, τελών και λοιπών έμμεσων φόρων για τους υποκείμενους στον φόρο που έχουν την έδρα ή υποκατάστημα της επιχειρηματικής τους δραστηριότητας ή την κατοικία τους στις περιοχές που επλήγησαν από πυρκαγιές τον Ιούλιο 2023.</w:t>
      </w:r>
    </w:p>
    <w:p>
      <w:pPr>
        <w:spacing w:before="240" w:after="240"/>
        <w:rPr>
          <w:lang w:val="el" w:eastAsia="el"/>
        </w:rPr>
      </w:pPr>
      <w:r>
        <w:rPr>
          <w:b/>
          <w:bCs/>
          <w:lang w:val="el" w:eastAsia="el"/>
        </w:rPr>
        <w:t>ΑΠΟΦΑΣΗΟ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b/>
          <w:bCs/>
          <w:lang w:val="el" w:eastAsia="el"/>
        </w:rPr>
        <w:t xml:space="preserve">1. </w:t>
      </w:r>
      <w:r>
        <w:rPr>
          <w:b/>
          <w:bCs/>
          <w:lang w:val="el" w:eastAsia="el"/>
        </w:rPr>
        <w:t>Τις διατάξεις:</w:t>
      </w:r>
    </w:p>
    <w:p>
      <w:pPr>
        <w:spacing w:before="240" w:after="240"/>
        <w:rPr>
          <w:lang w:val="el" w:eastAsia="el"/>
        </w:rPr>
      </w:pPr>
      <w:r>
        <w:rPr>
          <w:b/>
          <w:bCs/>
          <w:lang w:val="el" w:eastAsia="el"/>
        </w:rPr>
        <w:t>α. της παρ. 5 του άρθρου 22 του ν. 2020/1992 (Α΄34).</w:t>
      </w:r>
    </w:p>
    <w:p>
      <w:pPr>
        <w:spacing w:before="240" w:after="240"/>
        <w:rPr>
          <w:lang w:val="el" w:eastAsia="el"/>
        </w:rPr>
      </w:pPr>
      <w:r>
        <w:rPr>
          <w:b/>
          <w:bCs/>
          <w:lang w:val="el" w:eastAsia="el"/>
        </w:rPr>
        <w:t>β. της περ. β΄ της παρ. 12 του άρθρου 38 του Κώδικα Φόρου Προστιθέμενης Αξίας (ν. 2859/2000 Α’ 248), σε συνδυασμό με τις διατάξεις της περ. α΄ της παρ. 3 του άρθρου 41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b/>
          <w:bCs/>
          <w:lang w:val="el" w:eastAsia="el"/>
        </w:rPr>
        <w:t>γ. της περ. β΄ της παρ. 4 και των παρ.5,5α και 5β του άρθρου 36 και του άρθρου 38 του Κώδικα Φόρου Προστιθέμενης Αξίας (ν. 2859/2000 Α’ 248).</w:t>
      </w:r>
    </w:p>
    <w:p>
      <w:pPr>
        <w:spacing w:before="240" w:after="240"/>
        <w:rPr>
          <w:lang w:val="el" w:eastAsia="el"/>
        </w:rPr>
      </w:pPr>
      <w:r>
        <w:rPr>
          <w:b/>
          <w:bCs/>
          <w:lang w:val="el" w:eastAsia="el"/>
        </w:rPr>
        <w:t>δ. του ν. 4987/2022 «Κύρωση Κώδικα Φορολογικής Διαδικασίας (ΚΦΔ) (Α 206) και ιδίως των άρθρων 18, 31 και 41 αυτού.</w:t>
      </w:r>
    </w:p>
    <w:p>
      <w:pPr>
        <w:spacing w:before="240" w:after="240"/>
        <w:rPr>
          <w:lang w:val="el" w:eastAsia="el"/>
        </w:rPr>
      </w:pPr>
      <w:r>
        <w:rPr>
          <w:b/>
          <w:bCs/>
          <w:lang w:val="el" w:eastAsia="el"/>
        </w:rPr>
        <w:t>ε. των άρθρων 60, 64 και 69 του ν.4172/2013 (Α΄167).</w:t>
      </w:r>
    </w:p>
    <w:p>
      <w:pPr>
        <w:spacing w:before="240" w:after="240"/>
        <w:rPr>
          <w:lang w:val="el" w:eastAsia="el"/>
        </w:rPr>
      </w:pPr>
      <w:r>
        <w:rPr>
          <w:b/>
          <w:bCs/>
          <w:lang w:val="el" w:eastAsia="el"/>
        </w:rPr>
        <w:t>στ. του Κώδικα Διατάξεων Φορολογίας Κληρονομιών, Δωρεών, Γονικών Παροχών και Κερδών από Τυχερά Παίγνια, ο οποίος κυρώθηκε με το πρώτο άρθρο του ν.2961/2001 (Α΄266), ζ. του α.ν. 1521/1950 « Περί φόρου μεταβιβάσεως ακινήτων» (Α΄245), ο οποίος κυρώθηκε με το πρώτο άρθρο του ν. 1587/1950 (Α΄294).</w:t>
      </w:r>
    </w:p>
    <w:p>
      <w:pPr>
        <w:spacing w:before="240" w:after="240"/>
        <w:rPr>
          <w:lang w:val="el" w:eastAsia="el"/>
        </w:rPr>
      </w:pPr>
      <w:r>
        <w:rPr>
          <w:b/>
          <w:bCs/>
          <w:lang w:val="el" w:eastAsia="el"/>
        </w:rPr>
        <w:t xml:space="preserve">2. </w:t>
      </w:r>
      <w:r>
        <w:rPr>
          <w:b/>
          <w:bCs/>
          <w:lang w:val="el" w:eastAsia="el"/>
        </w:rPr>
        <w:t>Την υπό στοιχεία Α.1137/2020 απόφαση του Διοικητή της Ανεξάρτητης Αρχής Δημοσίων Εσόδων (ΑΑΔΕ) «Καθορισμός της διαδικασίας υποβολής δηλώσεων φορολογίας κεφαλαίου κοινοποίησης των πράξεων προσδιορισμού του φόρου και λήψης πιστοποιητικών των φορολογιών κεφαλαίου» (Β΄2423).</w:t>
      </w:r>
    </w:p>
    <w:p>
      <w:pPr>
        <w:spacing w:before="240" w:after="240"/>
        <w:rPr>
          <w:lang w:val="el" w:eastAsia="el"/>
        </w:rPr>
      </w:pPr>
      <w:r>
        <w:rPr>
          <w:b/>
          <w:bCs/>
          <w:lang w:val="el" w:eastAsia="el"/>
        </w:rPr>
        <w:t xml:space="preserve">3. </w:t>
      </w:r>
      <w:r>
        <w:rPr>
          <w:b/>
          <w:bCs/>
          <w:lang w:val="el" w:eastAsia="el"/>
        </w:rPr>
        <w:t>Την υπό στοιχεία Α. 1054/2022 απόφαση του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 2154).</w:t>
      </w:r>
    </w:p>
    <w:p>
      <w:pPr>
        <w:spacing w:before="240" w:after="240"/>
        <w:rPr>
          <w:lang w:val="el" w:eastAsia="el"/>
        </w:rPr>
      </w:pPr>
      <w:r>
        <w:rPr>
          <w:b/>
          <w:bCs/>
          <w:lang w:val="el" w:eastAsia="el"/>
        </w:rPr>
        <w:t xml:space="preserve">4. </w:t>
      </w:r>
      <w:r>
        <w:rPr>
          <w:b/>
          <w:bCs/>
          <w:lang w:val="el" w:eastAsia="el"/>
        </w:rPr>
        <w:t>Την υπό στοιχεία ΠΟΛ.1027/2014 απόφαση ΓΓΔΕ «Παρακράτηση φόρου στα εισοδήματα εργοληπτών κατασκευής κάθε είδους τεχνικών έργων και ενοικιαστών δημοσίων, δημοτικών και κοινοτικών ή λιμενικών προσόδων σύμφωνα με τις διατάξεις της περ. δ' της παρ. 1 του άρθρου 64 του ν. 4172/2013 καθώς και χρόνος και τρόπος απόδοσης του» (Β' 211).</w:t>
      </w:r>
    </w:p>
    <w:p>
      <w:pPr>
        <w:spacing w:before="240" w:after="240"/>
        <w:rPr>
          <w:lang w:val="el" w:eastAsia="el"/>
        </w:rPr>
      </w:pPr>
      <w:r>
        <w:rPr>
          <w:b/>
          <w:bCs/>
          <w:lang w:val="el" w:eastAsia="el"/>
        </w:rPr>
        <w:t xml:space="preserve">5. </w:t>
      </w:r>
      <w:r>
        <w:rPr>
          <w:b/>
          <w:bCs/>
          <w:lang w:val="el" w:eastAsia="el"/>
        </w:rPr>
        <w:t>Την υπό στοιχεία ΠΟΛ 1028/2014 απόφαση ΓΓΔΕ «Παρακράτηση φόρου από τους φορείς γενικής κυβέρνησης, κατά την προμήθεια κάθε είδους αγαθών ή παροχής υπηρεσιών σύμφωνα με τις διατάξεις της παρ. 2 του άρθρου 64 του ν. 4172/2013 καθώς και χρόνος και τρόπος απόδοσης του» (Β' 245).</w:t>
      </w:r>
    </w:p>
    <w:p>
      <w:pPr>
        <w:spacing w:before="240" w:after="240"/>
        <w:rPr>
          <w:lang w:val="el" w:eastAsia="el"/>
        </w:rPr>
      </w:pPr>
      <w:r>
        <w:rPr>
          <w:b/>
          <w:bCs/>
          <w:lang w:val="el" w:eastAsia="el"/>
        </w:rPr>
        <w:t xml:space="preserve">6. </w:t>
      </w:r>
      <w:r>
        <w:rPr>
          <w:b/>
          <w:bCs/>
          <w:lang w:val="el" w:eastAsia="el"/>
        </w:rPr>
        <w:t>Την υπό στοιχεία Α.1099/2019 απόφαση του Διοικητή της Ανεξάρτητης Αρχής Δημοσίων Εσόδων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μισθωτή εργασία και συντάξεις» (Β' 949).</w:t>
      </w:r>
    </w:p>
    <w:p>
      <w:pPr>
        <w:spacing w:before="240" w:after="240"/>
        <w:rPr>
          <w:lang w:val="el" w:eastAsia="el"/>
        </w:rPr>
      </w:pPr>
      <w:r>
        <w:rPr>
          <w:b/>
          <w:bCs/>
          <w:lang w:val="el" w:eastAsia="el"/>
        </w:rPr>
        <w:t xml:space="preserve">7. </w:t>
      </w:r>
      <w:r>
        <w:rPr>
          <w:b/>
          <w:bCs/>
          <w:lang w:val="el" w:eastAsia="el"/>
        </w:rPr>
        <w:t>Την υπό στοιχεία Α.1100/2019 απόφαση του Διοικητή της Ανεξάρτητης Αρχής Δημοσίων Εσόδων «Καθορισμός του ηλεκτρονικού τρόπου υποβολής, καθώς και του τύπου και περιεχομένου της δήλωσης απόδοσης του παρακρατούμενου φόρου στα εισοδήματα από μερίσματα, τόκους και δικαιώματα με βάση τις διατάξεις του άρθρου 64 του ν. 4172/2013» (Β' 951).</w:t>
      </w:r>
    </w:p>
    <w:p>
      <w:pPr>
        <w:spacing w:before="240" w:after="240"/>
        <w:rPr>
          <w:lang w:val="el" w:eastAsia="el"/>
        </w:rPr>
      </w:pPr>
      <w:r>
        <w:rPr>
          <w:b/>
          <w:bCs/>
          <w:lang w:val="el" w:eastAsia="el"/>
        </w:rPr>
        <w:t xml:space="preserve">8. </w:t>
      </w:r>
      <w:r>
        <w:rPr>
          <w:b/>
          <w:bCs/>
          <w:lang w:val="el" w:eastAsia="el"/>
        </w:rPr>
        <w:t>Την υπό στοιχεία Α.1101/2019 «Καθορισμός του ηλεκτρονικού τρόπου υποβολής, καθώς και του τύπου και περιεχομένου της δήλωσης απόδοσης του παρακρατούμενου φόρου σύμφωνα με τις διατάξεις, της περ. δ' της παρ. 1 του άρθρου 64 και των περ. α' και γ' της παρ. 5 του άρθρου 69 του ν. 4172/2013» (Β' 948).</w:t>
      </w:r>
    </w:p>
    <w:p>
      <w:pPr>
        <w:spacing w:before="240" w:after="240"/>
        <w:rPr>
          <w:lang w:val="el" w:eastAsia="el"/>
        </w:rPr>
      </w:pPr>
      <w:r>
        <w:rPr>
          <w:b/>
          <w:bCs/>
          <w:lang w:val="el" w:eastAsia="el"/>
        </w:rPr>
        <w:t xml:space="preserve">9. </w:t>
      </w:r>
      <w:r>
        <w:rPr>
          <w:b/>
          <w:bCs/>
          <w:lang w:val="el" w:eastAsia="el"/>
        </w:rPr>
        <w:t>Την υπό στοιχεία Α.1204/2020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αμοιβές πληρωμάτων εμπορικού ναυτικού» (Β' 3972).</w:t>
      </w:r>
    </w:p>
    <w:p>
      <w:pPr>
        <w:spacing w:before="240" w:after="240"/>
        <w:rPr>
          <w:lang w:val="el" w:eastAsia="el"/>
        </w:rPr>
      </w:pPr>
      <w:r>
        <w:rPr>
          <w:b/>
          <w:bCs/>
          <w:lang w:val="el" w:eastAsia="el"/>
        </w:rPr>
        <w:t xml:space="preserve">10. </w:t>
      </w:r>
      <w:r>
        <w:rPr>
          <w:b/>
          <w:bCs/>
          <w:lang w:val="el" w:eastAsia="el"/>
        </w:rPr>
        <w:t>του Κεφαλαίου Α’ «Σύσταση Ανεξάρτητης Αρχής Δημοσίων Εσόδων» του Μέρους Πρώτου του ν. 4389/2016 (Α΄ 94) και ειδικότερα του άρθρου 7, της παραγράφου 1 του άρθρου 14 και του άρθρου 41 αυτού.</w:t>
      </w:r>
    </w:p>
    <w:p>
      <w:pPr>
        <w:spacing w:before="240" w:after="240"/>
        <w:rPr>
          <w:lang w:val="el" w:eastAsia="el"/>
        </w:rPr>
      </w:pPr>
      <w:r>
        <w:rPr>
          <w:b/>
          <w:bCs/>
          <w:lang w:val="el" w:eastAsia="el"/>
        </w:rPr>
        <w:t xml:space="preserve">11. </w:t>
      </w:r>
      <w:r>
        <w:rPr>
          <w:b/>
          <w:bCs/>
          <w:lang w:val="el" w:eastAsia="el"/>
        </w:rPr>
        <w:t>Την υπό στοιχεία Δ.ΟΡΓ.Α 1125859 ΕΞ 2020/23-10-2020 απόφασης του Διοικητή της Ανεξάρτητης Αρχής Δημοσίων Εσόδων, με θέμα «Οργανισμός της Ανεξάρτητης Αρχής Δημοσίων Εσόδων (ΑΑΔΕ)» (Β’ 4738).</w:t>
      </w:r>
    </w:p>
    <w:p>
      <w:pPr>
        <w:spacing w:before="240" w:after="240"/>
        <w:rPr>
          <w:lang w:val="el" w:eastAsia="el"/>
        </w:rPr>
      </w:pPr>
      <w:r>
        <w:rPr>
          <w:b/>
          <w:bCs/>
          <w:lang w:val="el" w:eastAsia="el"/>
        </w:rPr>
        <w:t xml:space="preserve">12. </w:t>
      </w:r>
      <w:r>
        <w:rPr>
          <w:b/>
          <w:bCs/>
          <w:lang w:val="el" w:eastAsia="el"/>
        </w:rPr>
        <w:t>Την απόφαση Υφυπουργού Οικονομικών και Διοικητή Α.Α.Δ.Ε. Α.1222/2020 (Β' 4274) «Τύπος, περιεχόμενο, τρόπος και χρόνος υποβολής του ανακεφαλαιωτικού πίνακα ενδοκοινοτικών παραδόσεων αγαθών και παροχών υπηρεσιών - αποθεμάτων στη διάθεση συγκεκριμένου πελάτη σε άλλο κ-μ (έντυπο Φ4/ΤΑXIS, Φ.Π.Α., έκδοση 2020). Τύπος, περιεχόμενο, τρόπος και χρόνος υποβολής του ανακεφαλαιωτικού πίνακα ενδοκοινοτικών αποκτήσεων αγαθών και λήψεων υπηρεσιών (έντυπο Φ5/ΤΑXIS, Φ.Π.Α., έκδοση 2020)».</w:t>
      </w:r>
    </w:p>
    <w:p>
      <w:pPr>
        <w:spacing w:before="240" w:after="240"/>
        <w:rPr>
          <w:lang w:val="el" w:eastAsia="el"/>
        </w:rPr>
      </w:pPr>
      <w:r>
        <w:rPr>
          <w:b/>
          <w:bCs/>
          <w:lang w:val="el" w:eastAsia="el"/>
        </w:rPr>
        <w:t xml:space="preserve">13. </w:t>
      </w:r>
      <w:r>
        <w:rPr>
          <w:b/>
          <w:bCs/>
          <w:lang w:val="el" w:eastAsia="el"/>
        </w:rPr>
        <w:t>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(Β΄130 και Β΄372), σε συνδυασμό με τις διατάξεις της υποπαρ. α΄ της παρ. 3 του άρθρου 41 του ν. 4389/2016.</w:t>
      </w:r>
    </w:p>
    <w:p>
      <w:pPr>
        <w:spacing w:before="240" w:after="240"/>
        <w:rPr>
          <w:lang w:val="el" w:eastAsia="el"/>
        </w:rPr>
      </w:pPr>
      <w:r>
        <w:rPr>
          <w:b/>
          <w:bCs/>
          <w:lang w:val="el" w:eastAsia="el"/>
        </w:rPr>
        <w:t xml:space="preserve">14.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υπ΄αρ. 39/3/30-11-2017 (Υ.Ο.Δ.Δ. 689) του Συμβουλίου Διοίκησης της ΑΑΔΕ και υπό στοιχεία 5294 ΕΞ 2020/17-1- 2020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b/>
          <w:bCs/>
          <w:lang w:val="el" w:eastAsia="el"/>
        </w:rPr>
        <w:t xml:space="preserve">15. </w:t>
      </w:r>
      <w:r>
        <w:rPr>
          <w:b/>
          <w:bCs/>
          <w:lang w:val="el" w:eastAsia="el"/>
        </w:rPr>
        <w:t>Την υπό στοιχεία Α2659/27.7.2023 απόφαση του Γενικού Γραμματέα Πολιτικής Προστασίας για την κήρυξη σε κατάσταση Έκτακτης Ανάγκης Πολιτικής Προστασίας των Δημοτικών Ενοτήτων Βόλου, Νέας Ιωνίας, Αισωνίας, Νέας Αγχιάλου και Μακρυνίτσας, του Δήμου Βόλου της Περιφερειακής Ενότητας Μαγνησίας και Σποράδων της Περιφέρειας Θεσσαλίας.</w:t>
      </w:r>
    </w:p>
    <w:p>
      <w:pPr>
        <w:spacing w:before="240" w:after="240"/>
        <w:rPr>
          <w:lang w:val="el" w:eastAsia="el"/>
        </w:rPr>
      </w:pPr>
      <w:r>
        <w:rPr>
          <w:b/>
          <w:bCs/>
          <w:lang w:val="el" w:eastAsia="el"/>
        </w:rPr>
        <w:t xml:space="preserve">16. </w:t>
      </w:r>
      <w:r>
        <w:rPr>
          <w:b/>
          <w:bCs/>
          <w:lang w:val="el" w:eastAsia="el"/>
        </w:rPr>
        <w:t>Την υπό στοιχεία Α2649/27.7.2023 απόφαση του Γενικού Γραμματέα Πολιτικής Προστασίας για την κήρυξη σε κατάσταση Έκτακτης Ανάγκης Πολιτικής Προστασίας των Δημοτικών Κοινοτήτων Αλμυρού, Κροκίου και Πλατάνου, της Δημοτικής Ενότητας Αλμυρού του Δήμου Αλμυρού της Περιφερειακής Ενότητας Μαγνησίας και Σποράδων της Περιφέρειας Θεσσαλίας.</w:t>
      </w:r>
    </w:p>
    <w:p>
      <w:pPr>
        <w:spacing w:before="240" w:after="240"/>
        <w:rPr>
          <w:lang w:val="el" w:eastAsia="el"/>
        </w:rPr>
      </w:pPr>
      <w:r>
        <w:rPr>
          <w:b/>
          <w:bCs/>
          <w:lang w:val="el" w:eastAsia="el"/>
        </w:rPr>
        <w:t xml:space="preserve">17. </w:t>
      </w:r>
      <w:r>
        <w:rPr>
          <w:b/>
          <w:bCs/>
          <w:lang w:val="el" w:eastAsia="el"/>
        </w:rPr>
        <w:t>Την υπό στοιχεία Α2652/27.7.2023 απόφαση του Γενικού Γραμματέα Πολιτικής Προστασίας για την κήρυξη σε κατάσταση Έκτακτης Ανάγκης Πολιτικής Προστασίας των Δημοτικών Κοινοτήτων Κασσιόπης, Σινιών και Νισακίου της Δημοτικής Ενότητας Κασσωπαίων και των Δημοτικών Κοινοτήτων Λουτσών, Περίθειας και Λαυκίου της Δημοτικής Ενότητας Θιναλίου του Δήμου Βόρειας Κέρκυρας της Περιφερειακής Ενότητας Κέρκυρας της Περιφέρειας Ιονίων Νήσων.</w:t>
      </w:r>
    </w:p>
    <w:p>
      <w:pPr>
        <w:spacing w:before="240" w:after="240"/>
        <w:rPr>
          <w:lang w:val="el" w:eastAsia="el"/>
        </w:rPr>
      </w:pPr>
      <w:r>
        <w:rPr>
          <w:b/>
          <w:bCs/>
          <w:lang w:val="el" w:eastAsia="el"/>
        </w:rPr>
        <w:t xml:space="preserve">18. </w:t>
      </w:r>
      <w:r>
        <w:rPr>
          <w:b/>
          <w:bCs/>
          <w:lang w:val="el" w:eastAsia="el"/>
        </w:rPr>
        <w:t>Την υπό στοιχεία Α2658/27.7.2023 απόφαση του Γενικού Γραμματέα Πολιτικής Προστασίας για την κήρυξη σε κατάσταση Έκτακτης Ανάγκης Πολιτικής Προστασίας των Δημοτικών Κοινοτήτων Βελεστίνου, Αγίου Γεωργίου και Αερινού, της Δημοτικής Ενότητας Φερών του Δήμου Ρήγα Φεραίου της Περιφερειακής Ενότητας Μαγνησίας και Σποράδων της Περιφέρειας Θεσσαλίας.</w:t>
      </w:r>
    </w:p>
    <w:p>
      <w:pPr>
        <w:spacing w:before="240" w:after="240"/>
        <w:rPr>
          <w:lang w:val="el" w:eastAsia="el"/>
        </w:rPr>
      </w:pPr>
      <w:r>
        <w:rPr>
          <w:b/>
          <w:bCs/>
          <w:lang w:val="el" w:eastAsia="el"/>
        </w:rPr>
        <w:t xml:space="preserve">19. </w:t>
      </w:r>
      <w:r>
        <w:rPr>
          <w:b/>
          <w:bCs/>
          <w:lang w:val="el" w:eastAsia="el"/>
        </w:rPr>
        <w:t>Την υπό στοιχεία Α2621/26.7.2023 απόφαση του Γενικού Γραμματέα Πολιτικής Προστασίας για την κήρυξη σε κατάσταση Έκτακτης Ανάγκης Πολιτικής Προστασίας της Δημοτικής Κοινότητας Αετού της Δημοτικής Ενότητας Καρύστου του Δήμου Καρύστου της Περιφερειακής Ενότητας Εύβοιας της Περιφέρειας Στερεάς Ελλάδας.</w:t>
      </w:r>
    </w:p>
    <w:p>
      <w:pPr>
        <w:spacing w:before="240" w:after="240"/>
        <w:rPr>
          <w:lang w:val="el" w:eastAsia="el"/>
        </w:rPr>
      </w:pPr>
      <w:r>
        <w:rPr>
          <w:b/>
          <w:bCs/>
          <w:lang w:val="el" w:eastAsia="el"/>
        </w:rPr>
        <w:t xml:space="preserve">20. </w:t>
      </w:r>
      <w:r>
        <w:rPr>
          <w:b/>
          <w:bCs/>
          <w:lang w:val="el" w:eastAsia="el"/>
        </w:rPr>
        <w:t>Την υπο στοιχεία Α2689/28.7.2023 απόφαση του Γενικού Γραμματέα Πολιτικής Προστασίας για την κήρυξη σε κατάσταση Έκτακτης Ανάγκης Πολιτικής Προστασίας της Δημοτικής Κοινότητας Περιβλέπτου της Δημοτικής Ενότητας Φερών του Δήμου Ρήγα Φεραίου της Περιφερειακής Ενότητας Μαγνησίας και Σποράδων της Περιφέρειας Θεσσαλίας</w:t>
      </w:r>
    </w:p>
    <w:p>
      <w:pPr>
        <w:spacing w:before="240" w:after="240"/>
        <w:rPr>
          <w:lang w:val="el" w:eastAsia="el"/>
        </w:rPr>
      </w:pPr>
      <w:r>
        <w:rPr>
          <w:b/>
          <w:bCs/>
          <w:lang w:val="el" w:eastAsia="el"/>
        </w:rPr>
        <w:t xml:space="preserve">21. </w:t>
      </w:r>
      <w:r>
        <w:rPr>
          <w:b/>
          <w:bCs/>
          <w:lang w:val="el" w:eastAsia="el"/>
        </w:rPr>
        <w:t>Την ανάγκη εξυπηρέτησης και διευκόλυνσης για την υποβολή δηλώσεων και καταβολή φόρου από τους υπόχρεους που επλήγησαν λόγω των πυρκαγιών που εκδηλώθηκαν τον Ιούλιο 2023 στις ανωτέρω Περιφερειακές Ενότητες και των εκτεταμένων ζημιών που προκλήθηκαν από αυτές και απορρυθμίστηκε η οικονομική και κοινωνική ζωή τους</w:t>
      </w:r>
    </w:p>
    <w:p>
      <w:pPr>
        <w:spacing w:before="240" w:after="240"/>
        <w:rPr>
          <w:lang w:val="el" w:eastAsia="el"/>
        </w:rPr>
      </w:pPr>
      <w:r>
        <w:rPr>
          <w:b/>
          <w:bCs/>
          <w:lang w:val="el" w:eastAsia="el"/>
        </w:rPr>
        <w:t xml:space="preserve">22.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Α) Παράταση για δηλώσεις Φ.Π.Α., τελών χαρτοσήμου και λοιπών έμμεσων φόρων για τους υποκείμενους συγκεκριμένων περιφερειακών ενοτήτων.</w:t>
      </w:r>
    </w:p>
    <w:p>
      <w:pPr>
        <w:spacing w:before="240" w:after="240"/>
        <w:rPr>
          <w:lang w:val="el" w:eastAsia="el"/>
        </w:rPr>
      </w:pPr>
      <w:r>
        <w:rPr>
          <w:b/>
          <w:bCs/>
          <w:lang w:val="el" w:eastAsia="el"/>
        </w:rPr>
        <w:t>Για υποκείμενους που έχουν την έδρα ή υποκατάστημα της επιχειρηματικής τους δραστηριότητας: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στις Δημοτικές Ενότητες Βόλου, Νέας Ιωνίας, Αισωνίας, Νέας Αγχιάλου και Μακρυνίτσας του Δήμου Βόλου της Περιφερειακής Ενότητας Μαγνησίας και Σποράδων της Περιφέρειας Θεσσαλίας.</w:t>
      </w:r>
    </w:p>
    <w:p>
      <w:pPr>
        <w:pStyle w:val="StructureList1"/>
        <w:spacing w:before="120" w:after="0"/>
        <w:rPr>
          <w:lang w:val="el" w:eastAsia="el"/>
        </w:rPr>
      </w:pPr>
      <w:r>
        <w:rPr>
          <w:b/>
          <w:bCs/>
          <w:lang w:val="el" w:eastAsia="el"/>
        </w:rPr>
        <w:t>β)</w:t>
      </w:r>
      <w:r>
        <w:rPr>
          <w:b/>
          <w:bCs/>
          <w:lang w:val="en" w:eastAsia="en"/>
        </w:rPr>
        <w:tab/>
      </w:r>
      <w:r>
        <w:rPr>
          <w:b/>
          <w:bCs/>
          <w:lang w:val="el" w:eastAsia="el"/>
        </w:rPr>
        <w:t>στις Δημοτικές Κοινότητες Αλμυρού, Κροκίου και Πλατάνου, της Δημοτικής Ενότητας Αλμυρού του Δήμου Αλμυρού της Περιφερειακής Ενότητας Μαγνησίας και Σποράδων της Περιφέρειας Θεσσαλίας.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Δημοτικές Κοινότητες Κασσιόπης, Σινιών και Νισακίου της Δημοτικής Ενότητας Κασσωπαίων και των Δημοτικών Κοινοτήτων Λουτσών, Περίθειας και Λαυκίου της Δημοτικής Ενότητας Θιναλίου του Δήμου Βόρειας Κέρκυρας της Περιφερειακής Ενότητας Κέρκυρας της Περιφέρειας Ιονίων Νήσων.</w:t>
      </w:r>
    </w:p>
    <w:p>
      <w:pPr>
        <w:pStyle w:val="StructureList1"/>
        <w:spacing w:before="120" w:after="0"/>
        <w:rPr>
          <w:lang w:val="el" w:eastAsia="el"/>
        </w:rPr>
      </w:pPr>
      <w:r>
        <w:rPr>
          <w:b/>
          <w:bCs/>
          <w:lang w:val="el" w:eastAsia="el"/>
        </w:rPr>
        <w:t>δ)</w:t>
      </w:r>
      <w:r>
        <w:rPr>
          <w:b/>
          <w:bCs/>
          <w:lang w:val="en" w:eastAsia="en"/>
        </w:rPr>
        <w:tab/>
      </w:r>
      <w:r>
        <w:rPr>
          <w:b/>
          <w:bCs/>
          <w:lang w:val="el" w:eastAsia="el"/>
        </w:rPr>
        <w:t>στις Δημοτικές Κοινότητες Βελεστίνου, Αγίου Γεωργίου, Αερινού και Περιβλέπτου, της Δημοτικής Ενότητας Φερών του Δήμου Ρήγα Φεραίου της Περιφερειακής Ενότητας Μαγνησίας και Σποράδων της Περιφέρειας Θεσσαλίας,</w:t>
      </w:r>
    </w:p>
    <w:p>
      <w:pPr>
        <w:pStyle w:val="StructureList1"/>
        <w:spacing w:before="120" w:after="0"/>
        <w:rPr>
          <w:lang w:val="el" w:eastAsia="el"/>
        </w:rPr>
      </w:pPr>
      <w:r>
        <w:rPr>
          <w:b/>
          <w:bCs/>
          <w:lang w:val="el" w:eastAsia="el"/>
        </w:rPr>
        <w:t>ε)</w:t>
      </w:r>
      <w:r>
        <w:rPr>
          <w:b/>
          <w:bCs/>
          <w:lang w:val="en" w:eastAsia="en"/>
        </w:rPr>
        <w:tab/>
      </w:r>
      <w:r>
        <w:rPr>
          <w:b/>
          <w:bCs/>
          <w:lang w:val="el" w:eastAsia="el"/>
        </w:rPr>
        <w:t>στην Δημοτική Κοινότητα Αετού της Δημοτικής Ενότητας Καρύστου του Δήμου Καρύστου της Περιφερειακής Ενότητας Εύβοιας της Περιφέρειας Στερεάς Ελλάδας :</w:t>
      </w:r>
    </w:p>
    <w:p>
      <w:pPr>
        <w:spacing w:before="240" w:after="240"/>
        <w:rPr>
          <w:lang w:val="el" w:eastAsia="el"/>
        </w:rPr>
      </w:pPr>
      <w:r>
        <w:rPr>
          <w:b/>
          <w:bCs/>
          <w:lang w:val="el" w:eastAsia="el"/>
        </w:rPr>
        <w:t xml:space="preserve">1. </w:t>
      </w:r>
      <w:r>
        <w:rPr>
          <w:b/>
          <w:bCs/>
          <w:lang w:val="el" w:eastAsia="el"/>
        </w:rPr>
        <w:t>Παρατείνονται μέχρι και την 31.8.2023: η προθεσμία υποβολής των δηλώσεων ΦΠΑ, των οποίων η καταληκτική προθεσμία υποβολής τους είναι στις 31.7.2023 και η προθεσμία καταβολής του φόρου που τυχόν προκύπτει από αυτές μέχρι και 31.8.2023 Η ιδία ημερομηνία (31.8.2023) είναι καταληκτική και για τις δύο δόσεις στην περίπτωση επιλογής καταβολής του οφειλόμενου ποσού σε δόσεις.</w:t>
      </w:r>
    </w:p>
    <w:p>
      <w:pPr>
        <w:spacing w:before="240" w:after="240"/>
        <w:rPr>
          <w:lang w:val="el" w:eastAsia="el"/>
        </w:rPr>
      </w:pPr>
      <w:r>
        <w:rPr>
          <w:b/>
          <w:bCs/>
          <w:lang w:val="el" w:eastAsia="el"/>
        </w:rPr>
        <w:t xml:space="preserve">2. </w:t>
      </w:r>
      <w:r>
        <w:rPr>
          <w:b/>
          <w:bCs/>
          <w:lang w:val="el" w:eastAsia="el"/>
        </w:rPr>
        <w:t>Παράταση τελών χαρτοσήμου και λοιπών εμμέσων φόρων, τελών και εισφορών υπέρ του Δημοσίου ή τρίτων με καταληκτική προθεσμία από 26/7/2023 έως την 31/7/2023.</w:t>
      </w:r>
    </w:p>
    <w:p>
      <w:pPr>
        <w:spacing w:before="240" w:after="240"/>
        <w:rPr>
          <w:lang w:val="el" w:eastAsia="el"/>
        </w:rPr>
      </w:pPr>
      <w:r>
        <w:rPr>
          <w:b/>
          <w:bCs/>
          <w:lang w:val="el" w:eastAsia="el"/>
        </w:rPr>
        <w:t>Παρατείνεται μέχρι και την 31.8.2023 η προθεσμία απόδοσης των τελών χαρτοσήμου και υποβολής των δηλώσεων λοιπών εμμέσων φόρων, τελών και εισφορών υπέρ του Δημοσίου ή τρίτων που έχουν καταληκτική ημερομηνία από 26/7/2023 έως την 31/7/2023.</w:t>
      </w:r>
    </w:p>
    <w:p>
      <w:pPr>
        <w:spacing w:before="240" w:after="240"/>
        <w:rPr>
          <w:lang w:val="el" w:eastAsia="el"/>
        </w:rPr>
      </w:pPr>
      <w:r>
        <w:rPr>
          <w:b/>
          <w:bCs/>
          <w:lang w:val="el" w:eastAsia="el"/>
        </w:rPr>
        <w:t xml:space="preserve">3. </w:t>
      </w:r>
      <w:r>
        <w:rPr>
          <w:b/>
          <w:bCs/>
          <w:lang w:val="el" w:eastAsia="el"/>
        </w:rPr>
        <w:t>Οι ανωτέρω δηλώσεις υποβάλλονται, σύμφωνα με τις ισχύουσες αποφάσεις.</w:t>
      </w:r>
    </w:p>
    <w:p>
      <w:pPr>
        <w:spacing w:before="240" w:after="240"/>
        <w:rPr>
          <w:lang w:val="el" w:eastAsia="el"/>
        </w:rPr>
      </w:pPr>
      <w:r>
        <w:rPr>
          <w:b/>
          <w:bCs/>
          <w:lang w:val="el" w:eastAsia="el"/>
        </w:rPr>
        <w:t>Β) Παράταση για δήλωση απόδοσης παρακρατούμενων φόρων</w:t>
      </w:r>
    </w:p>
    <w:p>
      <w:pPr>
        <w:spacing w:before="240" w:after="240"/>
        <w:rPr>
          <w:lang w:val="el" w:eastAsia="el"/>
        </w:rPr>
      </w:pPr>
      <w:r>
        <w:rPr>
          <w:b/>
          <w:bCs/>
          <w:lang w:val="el" w:eastAsia="el"/>
        </w:rPr>
        <w:t xml:space="preserve">1. </w:t>
      </w:r>
      <w:r>
        <w:rPr>
          <w:b/>
          <w:bCs/>
          <w:lang w:val="el" w:eastAsia="el"/>
        </w:rPr>
        <w:t>Οι αρχικές δηλώσεις απόδοσης:</w:t>
      </w:r>
    </w:p>
    <w:p>
      <w:pPr>
        <w:pStyle w:val="StructureList1"/>
        <w:spacing w:before="120" w:after="0"/>
        <w:rPr>
          <w:lang w:val="el" w:eastAsia="el"/>
        </w:rPr>
      </w:pPr>
      <w:r>
        <w:rPr>
          <w:b/>
          <w:bCs/>
          <w:lang w:val="el" w:eastAsia="el"/>
        </w:rPr>
        <w:t>α)</w:t>
      </w:r>
      <w:r>
        <w:rPr>
          <w:b/>
          <w:bCs/>
          <w:lang w:val="en" w:eastAsia="en"/>
        </w:rPr>
        <w:tab/>
      </w:r>
      <w:r>
        <w:rPr>
          <w:b/>
          <w:bCs/>
          <w:lang w:val="el" w:eastAsia="el"/>
        </w:rPr>
        <w:t>παρακρατούμενου φόρου στο εισόδημα από μισθωτή εργασία και συντάξεις και β) παρακρατούμενου φόρου των διατάξεων του άρθρου 64 και των περ. α' και γ' της παρ 5 του άρθρου 69 του ν. 4172/2013,</w:t>
      </w:r>
    </w:p>
    <w:p>
      <w:pPr>
        <w:spacing w:before="240" w:after="240"/>
        <w:rPr>
          <w:lang w:val="el" w:eastAsia="el"/>
        </w:rPr>
      </w:pPr>
      <w:r>
        <w:rPr>
          <w:b/>
          <w:bCs/>
          <w:lang w:val="el" w:eastAsia="el"/>
        </w:rPr>
        <w:t>που έχουν καταληκτική ημερομηνία υποβολής την 31η Ιουλίου 2023 υποβάλλονται εμπρόθεσμα μέχρι και την 31.8.2023 για τους υπόχρεους υποβολής που έχουν την έδρα ή υποκατάστημα της επιχειρηματικής τους δραστηριότητας στις περιοχές του Κεφαλαίου Α της παρούσας.</w:t>
      </w:r>
    </w:p>
    <w:p>
      <w:pPr>
        <w:spacing w:before="240" w:after="240"/>
        <w:rPr>
          <w:lang w:val="el" w:eastAsia="el"/>
        </w:rPr>
      </w:pPr>
      <w:r>
        <w:rPr>
          <w:b/>
          <w:bCs/>
          <w:lang w:val="el" w:eastAsia="el"/>
        </w:rPr>
        <w:t xml:space="preserve">2. </w:t>
      </w:r>
      <w:r>
        <w:rPr>
          <w:b/>
          <w:bCs/>
          <w:lang w:val="el" w:eastAsia="el"/>
        </w:rPr>
        <w:t>Οι ανωτέρω δηλώσεις υποβάλλονται ψηφιακά, σύμφωνα με τις ισχύουσες αποφάσεις.</w:t>
      </w:r>
    </w:p>
    <w:p>
      <w:pPr>
        <w:spacing w:before="240" w:after="240"/>
        <w:rPr>
          <w:lang w:val="el" w:eastAsia="el"/>
        </w:rPr>
      </w:pPr>
      <w:r>
        <w:rPr>
          <w:b/>
          <w:bCs/>
          <w:lang w:val="el" w:eastAsia="el"/>
        </w:rPr>
        <w:t>Γ) Παράταση υποβολής δηλώσεων φόρου κληρονομιών, δωρεών, γονικών παροχών, κερδών από τυχερά παίγνια και μεταβίβασης ακινήτων</w:t>
      </w:r>
    </w:p>
    <w:p>
      <w:pPr>
        <w:spacing w:before="240" w:after="240"/>
        <w:rPr>
          <w:lang w:val="el" w:eastAsia="el"/>
        </w:rPr>
      </w:pPr>
      <w:r>
        <w:rPr>
          <w:b/>
          <w:bCs/>
          <w:lang w:val="el" w:eastAsia="el"/>
        </w:rPr>
        <w:t>Οι δηλώσεις των φυσικών και νομικών προσώπων και οντοτήτων, που έχουν την κύρια κατοικία ή κύρια εγκατάσταση (έδρα) στις ανωτέρω περιοχές που έχουν κηρυχθεί σε κατάσταση Έκτακτης Ανάγκης Πολιτικής Προστασίας, για την απόδοση φόρων κληρονομιών, δωρεών, γονικών παροχών, κερδών από τυχερά παίγνια και μεταβίβασης ακινήτων, που έχουν καταληκτική ημερομηνία από την 21.7.2023 υποβάλλονται εμπρόθεσμα, σε έντυπη μορφή είτε μέσω της εφαρμογής «Τα Αιτήματά μου», είτε με τη διαδικασία που καθορίζεται στην υπό στοιχεία Α. 1137/2020 (Β' 2423) απόφαση του Διοικητή της ΑΑΔΕ, όπως ισχύει μετά την Α. 1054/2022 (Β΄2154) απόφαση Διοικητή ΑΑΔΕ, μέχρι και την 31.8.2023</w:t>
      </w:r>
    </w:p>
    <w:p>
      <w:pPr>
        <w:spacing w:before="240" w:after="240"/>
        <w:rPr>
          <w:lang w:val="el" w:eastAsia="el"/>
        </w:rPr>
      </w:pPr>
      <w:r>
        <w:rPr>
          <w:b/>
          <w:bCs/>
          <w:lang w:val="el" w:eastAsia="el"/>
        </w:rPr>
        <w:t>Η παρούσα ισχύει από την δημοσίευσή της στην Εφημερίδα της Κυβερνήσεως.</w:t>
      </w:r>
    </w:p>
    <w:p>
      <w:pPr>
        <w:spacing w:before="240" w:after="240"/>
        <w:rPr>
          <w:lang w:val="el" w:eastAsia="el"/>
        </w:rPr>
      </w:pPr>
      <w:r>
        <w:rPr>
          <w:b/>
          <w:bCs/>
          <w:lang w:val="el" w:eastAsia="el"/>
        </w:rPr>
        <w:t>Η παρούσα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spacing w:before="240" w:after="240"/>
        <w:rPr>
          <w:lang w:val="el" w:eastAsia="el"/>
        </w:rPr>
      </w:pPr>
      <w:r>
        <w:rPr>
          <w:b/>
          <w:bCs/>
          <w:lang w:val="el" w:eastAsia="el"/>
        </w:rPr>
        <w:t xml:space="preserve">1. </w:t>
      </w:r>
      <w:r>
        <w:rPr>
          <w:b/>
          <w:bCs/>
          <w:lang w:val="el" w:eastAsia="el"/>
        </w:rPr>
        <w:t>Αποδέκτες Πίνακα Γ’, πλην αριθμ. 2 και 3</w:t>
      </w:r>
    </w:p>
    <w:p>
      <w:pPr>
        <w:spacing w:before="240" w:after="240"/>
        <w:rPr>
          <w:lang w:val="el" w:eastAsia="el"/>
        </w:rPr>
      </w:pPr>
      <w:r>
        <w:rPr>
          <w:b/>
          <w:bCs/>
          <w:lang w:val="el" w:eastAsia="el"/>
        </w:rPr>
        <w:t xml:space="preserve">2. </w:t>
      </w:r>
      <w:r>
        <w:rPr>
          <w:b/>
          <w:bCs/>
          <w:lang w:val="el" w:eastAsia="el"/>
        </w:rPr>
        <w:t>Διεύθυνση Στρατηγικής Τεχνολογιών Πληροφορικής για ανάρτηση στην ιστοσελίδα της ΑΑΔΕ</w:t>
      </w:r>
    </w:p>
    <w:p>
      <w:pPr>
        <w:spacing w:before="240" w:after="240"/>
        <w:rPr>
          <w:lang w:val="el" w:eastAsia="el"/>
        </w:rPr>
      </w:pPr>
      <w:r>
        <w:rPr>
          <w:b/>
          <w:bCs/>
          <w:lang w:val="el" w:eastAsia="el"/>
        </w:rPr>
        <w:t xml:space="preserve">3. </w:t>
      </w:r>
      <w:r>
        <w:rPr>
          <w:b/>
          <w:bCs/>
          <w:lang w:val="el" w:eastAsia="el"/>
        </w:rPr>
        <w:t>Διεύθυνση Επικοινωνίας</w:t>
      </w:r>
    </w:p>
    <w:p>
      <w:pPr>
        <w:spacing w:before="240" w:after="240"/>
        <w:rPr>
          <w:lang w:val="el" w:eastAsia="el"/>
        </w:rPr>
      </w:pPr>
      <w:r>
        <w:rPr>
          <w:b/>
          <w:bCs/>
          <w:lang w:val="el" w:eastAsia="el"/>
        </w:rPr>
        <w:t xml:space="preserve">4. </w:t>
      </w:r>
      <w:r>
        <w:rPr>
          <w:b/>
          <w:bCs/>
          <w:lang w:val="el" w:eastAsia="el"/>
        </w:rPr>
        <w:t>Ηλεκτρονικη Βιβλιοθήκη ΑΑΔΕ</w:t>
      </w:r>
    </w:p>
    <w:p>
      <w:pPr>
        <w:spacing w:before="240" w:after="240"/>
        <w:rPr>
          <w:lang w:val="el" w:eastAsia="el"/>
        </w:rPr>
      </w:pPr>
      <w:r>
        <w:rPr>
          <w:b/>
          <w:bCs/>
          <w:lang w:val="el" w:eastAsia="el"/>
        </w:rPr>
        <w:t xml:space="preserve">5.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98"/>
        <w:gridCol w:w="52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2.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3. </w:t>
            </w:r>
            <w:r>
              <w:rPr>
                <w:b/>
                <w:bCs/>
                <w:i w:val="0"/>
                <w:iCs w:val="0"/>
                <w:smallCaps w:val="0"/>
                <w:color w:val="000000"/>
                <w:lang w:val="el" w:eastAsia="el"/>
              </w:rPr>
              <w:t>Αποδέκτες Πίνακα</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after="240"/>
              <w:rPr>
                <w:b w:val="0"/>
                <w:bCs w:val="0"/>
                <w:i w:val="0"/>
                <w:iCs w:val="0"/>
                <w:smallCaps w:val="0"/>
                <w:color w:val="000000"/>
                <w:lang w:val="el" w:eastAsia="el"/>
              </w:rPr>
            </w:pPr>
            <w:r>
              <w:rPr>
                <w:b/>
                <w:bCs/>
                <w:i w:val="0"/>
                <w:iCs w:val="0"/>
                <w:smallCaps w:val="0"/>
                <w:color w:val="000000"/>
                <w:lang w:val="el" w:eastAsia="el"/>
              </w:rPr>
              <w:t>» »</w:t>
            </w:r>
          </w:p>
          <w:p>
            <w:pPr>
              <w:spacing w:before="240"/>
              <w:rPr>
                <w:b w:val="0"/>
                <w:bCs w:val="0"/>
                <w:i w:val="0"/>
                <w:iCs w:val="0"/>
                <w:smallCaps w:val="0"/>
                <w:color w:val="000000"/>
                <w:lang w:val="el" w:eastAsia="el"/>
              </w:rPr>
            </w:pPr>
            <w:r>
              <w:rPr>
                <w:b/>
                <w:bCs/>
                <w:i w:val="0"/>
                <w:iCs w:val="0"/>
                <w:smallCaps w:val="0"/>
                <w:color w:val="000000"/>
                <w:lang w:val="el" w:eastAsia="el"/>
              </w:rPr>
              <w:t>»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Α΄ μόνο οι αριθμ. 1 και 4.</w:t>
            </w:r>
          </w:p>
          <w:p>
            <w:pPr>
              <w:spacing w:before="240" w:after="240"/>
              <w:rPr>
                <w:b w:val="0"/>
                <w:bCs w:val="0"/>
                <w:i w:val="0"/>
                <w:iCs w:val="0"/>
                <w:smallCaps w:val="0"/>
                <w:color w:val="000000"/>
                <w:lang w:val="el" w:eastAsia="el"/>
              </w:rPr>
            </w:pPr>
            <w:r>
              <w:rPr>
                <w:b/>
                <w:bCs/>
                <w:i w:val="0"/>
                <w:iCs w:val="0"/>
                <w:smallCaps w:val="0"/>
                <w:color w:val="000000"/>
                <w:lang w:val="el" w:eastAsia="el"/>
              </w:rPr>
              <w:t>Β΄.</w:t>
            </w:r>
          </w:p>
          <w:p>
            <w:pPr>
              <w:spacing w:before="240" w:after="240"/>
              <w:rPr>
                <w:b w:val="0"/>
                <w:bCs w:val="0"/>
                <w:i w:val="0"/>
                <w:iCs w:val="0"/>
                <w:smallCaps w:val="0"/>
                <w:color w:val="000000"/>
                <w:lang w:val="el" w:eastAsia="el"/>
              </w:rPr>
            </w:pPr>
            <w:r>
              <w:rPr>
                <w:b/>
                <w:bCs/>
                <w:i w:val="0"/>
                <w:iCs w:val="0"/>
                <w:smallCaps w:val="0"/>
                <w:color w:val="000000"/>
                <w:lang w:val="el" w:eastAsia="el"/>
              </w:rPr>
              <w:t>Γ΄, μόνο οι αριθμ. 2 και 3.</w:t>
            </w:r>
          </w:p>
          <w:p>
            <w:pPr>
              <w:spacing w:before="240" w:after="240"/>
              <w:rPr>
                <w:b w:val="0"/>
                <w:bCs w:val="0"/>
                <w:i w:val="0"/>
                <w:iCs w:val="0"/>
                <w:smallCaps w:val="0"/>
                <w:color w:val="000000"/>
                <w:lang w:val="el" w:eastAsia="el"/>
              </w:rPr>
            </w:pPr>
            <w:r>
              <w:rPr>
                <w:b/>
                <w:bCs/>
                <w:i w:val="0"/>
                <w:iCs w:val="0"/>
                <w:smallCaps w:val="0"/>
                <w:color w:val="000000"/>
                <w:lang w:val="el" w:eastAsia="el"/>
              </w:rPr>
              <w:t>Ζ΄.</w:t>
            </w:r>
          </w:p>
          <w:p>
            <w:pPr>
              <w:spacing w:before="240" w:after="240"/>
              <w:rPr>
                <w:b w:val="0"/>
                <w:bCs w:val="0"/>
                <w:i w:val="0"/>
                <w:iCs w:val="0"/>
                <w:smallCaps w:val="0"/>
                <w:color w:val="000000"/>
                <w:lang w:val="el" w:eastAsia="el"/>
              </w:rPr>
            </w:pPr>
            <w:r>
              <w:rPr>
                <w:b/>
                <w:bCs/>
                <w:i w:val="0"/>
                <w:iCs w:val="0"/>
                <w:smallCaps w:val="0"/>
                <w:color w:val="000000"/>
                <w:lang w:val="el" w:eastAsia="el"/>
              </w:rPr>
              <w:t>Η΄.</w:t>
            </w:r>
          </w:p>
          <w:p>
            <w:pPr>
              <w:spacing w:before="240" w:after="240"/>
              <w:rPr>
                <w:b w:val="0"/>
                <w:bCs w:val="0"/>
                <w:i w:val="0"/>
                <w:iCs w:val="0"/>
                <w:smallCaps w:val="0"/>
                <w:color w:val="000000"/>
                <w:lang w:val="el" w:eastAsia="el"/>
              </w:rPr>
            </w:pPr>
            <w:r>
              <w:rPr>
                <w:b/>
                <w:bCs/>
                <w:i w:val="0"/>
                <w:iCs w:val="0"/>
                <w:smallCaps w:val="0"/>
                <w:color w:val="000000"/>
                <w:lang w:val="el" w:eastAsia="el"/>
              </w:rPr>
              <w:t>Θ΄ μόνο οι αριθμ 10,16,17.</w:t>
            </w:r>
          </w:p>
          <w:p>
            <w:pPr>
              <w:spacing w:before="240"/>
              <w:rPr>
                <w:b w:val="0"/>
                <w:bCs w:val="0"/>
                <w:i w:val="0"/>
                <w:iCs w:val="0"/>
                <w:smallCaps w:val="0"/>
                <w:color w:val="000000"/>
                <w:lang w:val="el" w:eastAsia="el"/>
              </w:rPr>
            </w:pPr>
            <w:r>
              <w:rPr>
                <w:b/>
                <w:bCs/>
                <w:i w:val="0"/>
                <w:iCs w:val="0"/>
                <w:smallCaps w:val="0"/>
                <w:color w:val="000000"/>
                <w:lang w:val="el" w:eastAsia="el"/>
              </w:rPr>
              <w:t>ΙΒ΄ΙΓ’,ΙΕ΄,ΙΖ, ΙΗ΄, ΙΣΤ΄, Κ΄, ΚΒ΄, ΚΓ΄,</w:t>
            </w:r>
          </w:p>
        </w:tc>
      </w:tr>
    </w:tbl>
    <w:p>
      <w:pPr>
        <w:spacing w:before="240" w:after="240"/>
        <w:rPr>
          <w:lang w:val="el" w:eastAsia="el"/>
        </w:rPr>
      </w:pPr>
      <w:r>
        <w:rPr>
          <w:b/>
          <w:bCs/>
          <w:lang w:val="el" w:eastAsia="el"/>
        </w:rPr>
        <w:t>8. Γραφείο Υπουργού Οικονομικών</w:t>
      </w:r>
    </w:p>
    <w:p>
      <w:pPr>
        <w:spacing w:before="240" w:after="240"/>
        <w:rPr>
          <w:lang w:val="el" w:eastAsia="el"/>
        </w:rPr>
      </w:pPr>
      <w:r>
        <w:rPr>
          <w:b/>
          <w:bCs/>
          <w:lang w:val="el" w:eastAsia="el"/>
        </w:rPr>
        <w:t>9. Γραφείο Υφυπουργού Οικονομικών</w:t>
      </w:r>
    </w:p>
    <w:p>
      <w:pPr>
        <w:spacing w:before="240" w:after="240"/>
        <w:rPr>
          <w:lang w:val="el" w:eastAsia="el"/>
        </w:rPr>
      </w:pPr>
      <w:r>
        <w:rPr>
          <w:b/>
          <w:bCs/>
          <w:lang w:val="el" w:eastAsia="el"/>
        </w:rPr>
        <w:t>10. Γραφείο Γεν. Γραμματέα Φορολογικής Πολιτικής</w:t>
      </w:r>
    </w:p>
    <w:p>
      <w:pPr>
        <w:spacing w:before="240" w:after="240"/>
        <w:rPr>
          <w:lang w:val="el" w:eastAsia="el"/>
        </w:rPr>
      </w:pPr>
      <w:r>
        <w:rPr>
          <w:b/>
          <w:bCs/>
          <w:lang w:val="el" w:eastAsia="el"/>
        </w:rPr>
        <w:t>11. Διεύθυνση Φορολογικής Πολίτικης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Διοικητού ΑΑΔΕ</w:t>
      </w:r>
    </w:p>
    <w:p>
      <w:pPr>
        <w:spacing w:before="240" w:after="240"/>
        <w:rPr>
          <w:lang w:val="el" w:eastAsia="el"/>
        </w:rPr>
      </w:pPr>
      <w:r>
        <w:rPr>
          <w:b/>
          <w:bCs/>
          <w:lang w:val="el" w:eastAsia="el"/>
        </w:rPr>
        <w:t xml:space="preserve">2. </w:t>
      </w:r>
      <w:r>
        <w:rPr>
          <w:b/>
          <w:bCs/>
          <w:lang w:val="el" w:eastAsia="el"/>
        </w:rPr>
        <w:t>Γραφείο κ. κ. Γενικών Διευθυντών</w:t>
      </w:r>
    </w:p>
    <w:p>
      <w:pPr>
        <w:spacing w:before="240" w:after="240"/>
        <w:rPr>
          <w:lang w:val="el" w:eastAsia="el"/>
        </w:rPr>
      </w:pPr>
      <w:r>
        <w:rPr>
          <w:b/>
          <w:bCs/>
          <w:lang w:val="el" w:eastAsia="el"/>
        </w:rPr>
        <w:t xml:space="preserve">3. </w:t>
      </w:r>
      <w:r>
        <w:rPr>
          <w:b/>
          <w:bCs/>
          <w:lang w:val="el" w:eastAsia="el"/>
        </w:rPr>
        <w:t>Διεύθυνση Νομικής Υποστήριξης</w:t>
      </w:r>
    </w:p>
    <w:p>
      <w:pPr>
        <w:spacing w:before="240" w:after="240"/>
        <w:rPr>
          <w:lang w:val="el" w:eastAsia="el"/>
        </w:rPr>
      </w:pPr>
      <w:r>
        <w:rPr>
          <w:b/>
          <w:bCs/>
          <w:lang w:val="el" w:eastAsia="el"/>
        </w:rPr>
        <w:t xml:space="preserve">4. </w:t>
      </w:r>
      <w:r>
        <w:rPr>
          <w:b/>
          <w:bCs/>
          <w:lang w:val="el" w:eastAsia="el"/>
        </w:rPr>
        <w:t>Διεύθυνση Εφαρμογής Έμμεσης Φορολογίας</w:t>
      </w:r>
    </w:p>
    <w:p>
      <w:pPr>
        <w:spacing w:before="240" w:after="240"/>
        <w:rPr>
          <w:lang w:val="el" w:eastAsia="el"/>
        </w:rPr>
      </w:pPr>
      <w:r>
        <w:rPr>
          <w:b/>
          <w:bCs/>
          <w:lang w:val="el" w:eastAsia="el"/>
        </w:rPr>
        <w:t xml:space="preserve">5. </w:t>
      </w:r>
      <w:r>
        <w:rPr>
          <w:b/>
          <w:bCs/>
          <w:lang w:val="el" w:eastAsia="el"/>
        </w:rPr>
        <w:t>Διεύθυνση Εφαρμογής Φορολογίας Κεφ. και Περιουσιολογίου</w:t>
      </w:r>
    </w:p>
    <w:p>
      <w:pPr>
        <w:spacing w:before="240" w:after="240"/>
        <w:rPr>
          <w:lang w:val="el" w:eastAsia="el"/>
        </w:rPr>
      </w:pPr>
      <w:r>
        <w:rPr>
          <w:b/>
          <w:bCs/>
          <w:lang w:val="el" w:eastAsia="el"/>
        </w:rPr>
        <w:t xml:space="preserve">6. </w:t>
      </w:r>
      <w:r>
        <w:rPr>
          <w:b/>
          <w:bCs/>
          <w:lang w:val="el" w:eastAsia="el"/>
        </w:rPr>
        <w:t>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