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ΑΔΑ: ΨΟ9Π4 ΑΡΙΘ. ΦΕΚ: Β</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ΕΘΝΙΚΗΣ ΟΙΚΟΝΟΜΙΑΣ ΚΑΙ ΟΙΚΟΝΟΜΙΚΩΝ</w:t>
      </w:r>
    </w:p>
    <w:p>
      <w:pPr>
        <w:pStyle w:val="PreambelText"/>
        <w:spacing w:before="240" w:after="240"/>
        <w:rPr>
          <w:lang w:val="el" w:eastAsia="el"/>
        </w:rPr>
      </w:pPr>
      <w:r>
        <w:rPr>
          <w:b/>
          <w:bCs/>
          <w:lang w:val="el" w:eastAsia="el"/>
        </w:rPr>
        <w:t>Α) ΓΕΝΙΚΗ Δ/ΝΣΗ ΦΟΡΟΛΟΓΙΑΣ Δ/ΝΣΗ ΕΦΑΡΜΟΓΗΣ ΑΜΕΣΗΣ 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Κωδ. : 101 84, ΑΘΗΝΑ</w:t>
      </w:r>
    </w:p>
    <w:p>
      <w:pPr>
        <w:pStyle w:val="PreambelText"/>
        <w:spacing w:before="240" w:after="240"/>
        <w:rPr>
          <w:lang w:val="el" w:eastAsia="el"/>
        </w:rPr>
      </w:pPr>
      <w:r>
        <w:rPr>
          <w:b/>
          <w:bCs/>
          <w:lang w:val="el" w:eastAsia="el"/>
        </w:rPr>
        <w:t>Τηλέφωνο : 210 – 3375312</w:t>
      </w:r>
    </w:p>
    <w:p>
      <w:pPr>
        <w:pStyle w:val="PreambelText"/>
        <w:spacing w:before="240" w:after="240"/>
        <w:rPr>
          <w:lang w:val="el" w:eastAsia="el"/>
        </w:rPr>
      </w:pPr>
      <w:r>
        <w:rPr>
          <w:b/>
          <w:bCs/>
          <w:lang w:val="el" w:eastAsia="el"/>
        </w:rPr>
        <w:t>E – mail :</w:t>
      </w:r>
      <w:hyperlink r:id="rId4" w:history="1">
        <w:r>
          <w:rPr>
            <w:rStyle w:val="Hyperlink"/>
            <w:b/>
            <w:bCs/>
            <w:color w:val="0000EE"/>
            <w:u w:color="0000EE"/>
            <w:lang w:val="el" w:eastAsia="el"/>
          </w:rPr>
          <w:t>deaf.b@aade.gr</w:t>
        </w:r>
      </w:hyperlink>
      <w:r>
        <w:rPr>
          <w:b/>
          <w:bCs/>
          <w:lang w:val="el" w:eastAsia="el"/>
        </w:rPr>
        <w:t>,</w:t>
      </w:r>
    </w:p>
    <w:p>
      <w:pPr>
        <w:pStyle w:val="PreambelText"/>
        <w:spacing w:before="240" w:after="240"/>
        <w:rPr>
          <w:lang w:val="el" w:eastAsia="el"/>
        </w:rPr>
      </w:pPr>
      <w:hyperlink r:id="rId5" w:history="1">
        <w:r>
          <w:rPr>
            <w:rStyle w:val="Hyperlink"/>
            <w:b/>
            <w:bCs/>
            <w:color w:val="0000EE"/>
            <w:u w:color="0000EE"/>
            <w:lang w:val="el" w:eastAsia="el"/>
          </w:rPr>
          <w:t>deaf.a@aade.gr</w:t>
        </w:r>
      </w:hyperlink>
    </w:p>
    <w:p>
      <w:pPr>
        <w:pStyle w:val="PreambelText"/>
        <w:spacing w:before="240" w:after="240"/>
        <w:rPr>
          <w:lang w:val="el" w:eastAsia="el"/>
        </w:rPr>
      </w:pPr>
      <w:r>
        <w:rPr>
          <w:b/>
          <w:bCs/>
          <w:lang w:val="el" w:eastAsia="el"/>
        </w:rPr>
        <w:t>Β) ΓΕΝΙΚΗ Δ/ΝΣΗ ΗΛΕΚΤΡ/ΚΗΣ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Δ/ΝΣΗ ΕΠΙΧΕΙΡΗΣΙΑΚΩΝ ΔΙΑΔΙΚΑΣΙΩΝ ΥΠΟΔΙΕΥΘΥΝΣΗ Α΄ - ΑΠΑΙΤΗΣΕΩΝ ΚΑΙ ΕΛΕΓΧΟΥ ΕΦΑΡΜΟΓΩΝ ΦΟΡΟΛΟΓΙΑΣ ΤΜΗΜΑ Α΄</w:t>
      </w:r>
    </w:p>
    <w:p>
      <w:pPr>
        <w:pStyle w:val="PreambelText"/>
        <w:spacing w:before="240" w:after="240"/>
        <w:rPr>
          <w:lang w:val="el" w:eastAsia="el"/>
        </w:rPr>
      </w:pPr>
      <w:r>
        <w:rPr>
          <w:b/>
          <w:bCs/>
          <w:lang w:val="el" w:eastAsia="el"/>
        </w:rPr>
        <w:t xml:space="preserve">3. </w:t>
      </w:r>
      <w:r>
        <w:rPr>
          <w:b/>
          <w:bCs/>
          <w:lang w:val="el" w:eastAsia="el"/>
        </w:rPr>
        <w:t>ΥΠΟΥΡΓΕΙΟ ΕΡΓΑΣΙΑΣ &amp; ΚΟΙΝΩΝΙΚΩΝ</w:t>
      </w:r>
    </w:p>
    <w:p>
      <w:pPr>
        <w:pStyle w:val="PreambelText"/>
        <w:spacing w:before="240" w:after="240"/>
        <w:rPr>
          <w:lang w:val="el" w:eastAsia="el"/>
        </w:rPr>
      </w:pPr>
      <w:r>
        <w:rPr>
          <w:b/>
          <w:bCs/>
          <w:lang w:val="el" w:eastAsia="el"/>
        </w:rPr>
        <w:t>ΑΣΦΑΛΙΣΕΩΝ</w:t>
      </w:r>
    </w:p>
    <w:p>
      <w:pPr>
        <w:pStyle w:val="PreambelText"/>
        <w:spacing w:before="240" w:after="240"/>
        <w:rPr>
          <w:lang w:val="el" w:eastAsia="el"/>
        </w:rPr>
      </w:pPr>
      <w:r>
        <w:rPr>
          <w:b/>
          <w:bCs/>
          <w:lang w:val="el" w:eastAsia="el"/>
        </w:rPr>
        <w:t>ΘΕΜΑ: Τροποποίηση της Α. 1040/2023 Απόφασης «Καθορισμός του τρόπου υπολογισμού της αύξησης του μέσου αριθμού εργαζομένων με σχέση εργασίας πλήρους απασχόλησης, του τρόπου και της διαδικασίας διακρίβωσης και ελέγχου των προϋποθέσεων και κάθε άλλης αναγκαίας λεπτομέρειας, προκειμένου για την εφαρμογή των διατάξεων εξαίρεσης από το τέλος επιτηδεύματος της παρ. 3α του άρθρου 31 του ν. 3986/2011 (Α’ 152), που προστέθηκε με το άρθρο 180 του ν. 4972/2022 (Α’ 181)» (Β΄2122)</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OΙ ΥΠΟΥΡΓΟΙ ΕΘΝΙΚΗΣ ΟΙΚΟΝΟΜΙΑΣ ΚΑΙ ΟΙΚΟΝΟΜΙΚΩΝ - ΕΡΓΑΣΙΑΣ ΚΑΙ ΚΟΙΝΩΝΙΚΗΣ</w:t>
      </w:r>
    </w:p>
    <w:p>
      <w:pPr>
        <w:pStyle w:val="enacting"/>
        <w:spacing w:before="120" w:after="0"/>
        <w:rPr>
          <w:lang w:val="el" w:eastAsia="el"/>
        </w:rPr>
      </w:pPr>
      <w:r>
        <w:rPr>
          <w:b/>
          <w:bCs/>
          <w:lang w:val="el" w:eastAsia="el"/>
        </w:rPr>
        <w:t>ΑΣΦΑΛΙΣΗΣ</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 του άρθρου 31 του ν.3986/2011 «Επείγοντα Μέτρα Εφαρμογής Μεσοπρόθεσμου Πλαισίου Δημοσιονομικής Στρατηγικής 2012-2015» (Α΄ 152).</w:t>
      </w:r>
    </w:p>
    <w:p>
      <w:pPr>
        <w:pStyle w:val="PreambelText"/>
        <w:spacing w:before="240" w:after="240"/>
        <w:rPr>
          <w:lang w:val="el" w:eastAsia="el"/>
        </w:rPr>
      </w:pPr>
      <w:r>
        <w:rPr>
          <w:b/>
          <w:bCs/>
          <w:lang w:val="el" w:eastAsia="el"/>
        </w:rPr>
        <w:t xml:space="preserve">2. </w:t>
      </w:r>
      <w:r>
        <w:rPr>
          <w:b/>
          <w:bCs/>
          <w:lang w:val="el" w:eastAsia="el"/>
        </w:rPr>
        <w:t>Τις διατάξεις του άρθρου 180 του ν. 4972/2022 «Εταιρική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 αξιολόγηση της έναντι του Δημοσίου φερεγγυότητας και πιστοληπτικής ικανότητας φυσικών και νομικών προσώπων και σύσταση Ανεξάρτητης Αρχής Πιστοληπτικής Αξιολόγησης, ίδρυση και λειτουργία Κεντρικού Μητρώου Πιστώσεων, Συμπληρωματικός Κρατικός Προϋπολογισμός οικονομικού έτους 2022 και λοιπές διατάξεις οικονομικού και αναπτυξιακού χαρακτήρα» (Α΄181).</w:t>
      </w:r>
    </w:p>
    <w:p>
      <w:pPr>
        <w:pStyle w:val="PreambelText"/>
        <w:spacing w:before="240" w:after="240"/>
        <w:rPr>
          <w:lang w:val="el" w:eastAsia="el"/>
        </w:rPr>
      </w:pPr>
      <w:r>
        <w:rPr>
          <w:b/>
          <w:bCs/>
          <w:lang w:val="el" w:eastAsia="el"/>
        </w:rPr>
        <w:t xml:space="preserve">3. </w:t>
      </w:r>
      <w:r>
        <w:rPr>
          <w:b/>
          <w:bCs/>
          <w:lang w:val="el" w:eastAsia="el"/>
        </w:rPr>
        <w:t>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b/>
          <w:bCs/>
          <w:lang w:val="el" w:eastAsia="el"/>
        </w:rPr>
        <w:t xml:space="preserve">4. </w:t>
      </w:r>
      <w:r>
        <w:rPr>
          <w:b/>
          <w:bCs/>
          <w:lang w:val="el" w:eastAsia="el"/>
        </w:rPr>
        <w:t>Το άρθρο 90 του Κώδικα νομοθεσίας για την Κυβέρνηση και τα κυβερνητικά όργανα, όπως κυρώθηκε με το άρθρο πρώτο του π.δ. 63/2005 (Α΄98), σε συνδυασμό με την παρ. 22 του άρθρου 119 του ν.4622/2019 (Α΄133).</w:t>
      </w:r>
    </w:p>
    <w:p>
      <w:pPr>
        <w:pStyle w:val="PreambelText"/>
        <w:spacing w:before="240" w:after="240"/>
        <w:rPr>
          <w:lang w:val="el" w:eastAsia="el"/>
        </w:rPr>
      </w:pPr>
      <w:r>
        <w:rPr>
          <w:b/>
          <w:bCs/>
          <w:lang w:val="el" w:eastAsia="el"/>
        </w:rPr>
        <w:t xml:space="preserve">5. </w:t>
      </w:r>
      <w:r>
        <w:rPr>
          <w:b/>
          <w:bCs/>
          <w:lang w:val="el" w:eastAsia="el"/>
        </w:rPr>
        <w:t>Το π.δ. 142/2017 «Οργανισμός Υπουργείου Οικονομικών» (Α΄ 181).</w:t>
      </w:r>
    </w:p>
    <w:p>
      <w:pPr>
        <w:pStyle w:val="PreambelText"/>
        <w:spacing w:before="240" w:after="240"/>
        <w:rPr>
          <w:lang w:val="el" w:eastAsia="el"/>
        </w:rPr>
      </w:pPr>
      <w:r>
        <w:rPr>
          <w:b/>
          <w:bCs/>
          <w:lang w:val="el" w:eastAsia="el"/>
        </w:rPr>
        <w:t xml:space="preserve">6. </w:t>
      </w:r>
      <w:r>
        <w:rPr>
          <w:b/>
          <w:bCs/>
          <w:lang w:val="el" w:eastAsia="el"/>
        </w:rPr>
        <w:t>α) 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φορέων»(Α΄130).</w:t>
      </w:r>
    </w:p>
    <w:p>
      <w:pPr>
        <w:pStyle w:val="StructureList1"/>
        <w:spacing w:before="120" w:after="0"/>
        <w:rPr>
          <w:lang w:val="el" w:eastAsia="el"/>
        </w:rPr>
      </w:pPr>
      <w:r>
        <w:rPr>
          <w:b/>
          <w:bCs/>
          <w:lang w:val="el" w:eastAsia="el"/>
        </w:rPr>
        <w:t>β)</w:t>
      </w:r>
      <w:r>
        <w:rPr>
          <w:b/>
          <w:bCs/>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 139).</w:t>
      </w:r>
    </w:p>
    <w:p>
      <w:pPr>
        <w:pStyle w:val="PreambelText"/>
        <w:spacing w:before="240" w:after="240"/>
        <w:rPr>
          <w:lang w:val="el" w:eastAsia="el"/>
        </w:rPr>
      </w:pPr>
      <w:r>
        <w:rPr>
          <w:b/>
          <w:bCs/>
          <w:lang w:val="el" w:eastAsia="el"/>
        </w:rPr>
        <w:t xml:space="preserve">7. </w:t>
      </w:r>
      <w:r>
        <w:rPr>
          <w:b/>
          <w:bCs/>
          <w:lang w:val="el" w:eastAsia="el"/>
        </w:rPr>
        <w:t>Το π.δ. 79/2023 «Διορισμός Υπουργών, Αναπληρωτών Υπουργών και Υφυπουργών» (Α΄131)</w:t>
      </w:r>
    </w:p>
    <w:p>
      <w:pPr>
        <w:pStyle w:val="PreambelText"/>
        <w:spacing w:before="240" w:after="240"/>
        <w:rPr>
          <w:lang w:val="el" w:eastAsia="el"/>
        </w:rPr>
      </w:pPr>
      <w:r>
        <w:rPr>
          <w:b/>
          <w:bCs/>
          <w:lang w:val="el" w:eastAsia="el"/>
        </w:rPr>
        <w:t xml:space="preserve">8. </w:t>
      </w:r>
      <w:r>
        <w:rPr>
          <w:b/>
          <w:bCs/>
          <w:lang w:val="el" w:eastAsia="el"/>
        </w:rPr>
        <w:t>Την υπό στοιχεία 102916/10.7.2023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b/>
          <w:bCs/>
          <w:lang w:val="el" w:eastAsia="el"/>
        </w:rPr>
        <w:t xml:space="preserve">9. </w:t>
      </w:r>
      <w:r>
        <w:rPr>
          <w:b/>
          <w:bCs/>
          <w:lang w:val="el" w:eastAsia="el"/>
        </w:rPr>
        <w:t>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του νόμου αυτού.</w:t>
      </w:r>
    </w:p>
    <w:p>
      <w:pPr>
        <w:pStyle w:val="PreambelText"/>
        <w:spacing w:before="240" w:after="240"/>
        <w:rPr>
          <w:lang w:val="el" w:eastAsia="el"/>
        </w:rPr>
      </w:pPr>
      <w:r>
        <w:rPr>
          <w:b/>
          <w:bCs/>
          <w:lang w:val="el" w:eastAsia="el"/>
        </w:rPr>
        <w:t xml:space="preserve">10. </w:t>
      </w:r>
      <w:r>
        <w:rPr>
          <w:b/>
          <w:bCs/>
          <w:lang w:val="el" w:eastAsia="el"/>
        </w:rPr>
        <w:t>Την υπό στοιχεία Δ.ΟΡΓ.Α. 1125859 ΕΞ 23.10.2020 απόφαση του Διοικητή της Ανεξάρτητης Αρχής Δημοσίων Εσόδων (ΑΑΔΕ) «Οργανισμός της Ανεξάρτητης Αρχής Δημοσίων Εσόδων» (Β΄4738).</w:t>
      </w:r>
    </w:p>
    <w:p>
      <w:pPr>
        <w:pStyle w:val="PreambelText"/>
        <w:spacing w:before="240" w:after="240"/>
        <w:rPr>
          <w:lang w:val="el" w:eastAsia="el"/>
        </w:rPr>
      </w:pPr>
      <w:r>
        <w:rPr>
          <w:b/>
          <w:bCs/>
          <w:lang w:val="el" w:eastAsia="el"/>
        </w:rPr>
        <w:t xml:space="preserve">11. </w:t>
      </w:r>
      <w:r>
        <w:rPr>
          <w:b/>
          <w:bCs/>
          <w:lang w:val="el" w:eastAsia="el"/>
        </w:rPr>
        <w:t xml:space="preserve">Την υπ’ αρ.1 της 20.1.2016 πράξη του Υπουργικού Συμβουλίου «Επιλογή και διορισμός Γενικού Γραμματέα της Γενικής Γραμματείας Δημοσίων Εσόδων του Υπουργείου Οικονομικών» </w:t>
      </w:r>
      <w:r>
        <w:rPr>
          <w:b/>
          <w:bCs/>
          <w:lang w:val="el" w:eastAsia="el"/>
        </w:rPr>
        <w:t>2</w:t>
      </w:r>
    </w:p>
    <w:p>
      <w:pPr>
        <w:pStyle w:val="PreambelText"/>
        <w:spacing w:before="240" w:after="240"/>
        <w:rPr>
          <w:lang w:val="el" w:eastAsia="el"/>
        </w:rPr>
      </w:pPr>
      <w:r>
        <w:rPr>
          <w:b/>
          <w:bCs/>
          <w:lang w:val="el" w:eastAsia="el"/>
        </w:rPr>
        <w:t>(Υ.Ο.Δ.Δ. 18), σε συνδυασμό με τις διατάξεις του πρώτου εδαφίου της παραγράφου 10 του άρθρου 41 του ν.4389/2016, όπως ισχύουν και την υπ’ αρ.39/3/30.11.2017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12. </w:t>
      </w:r>
      <w:r>
        <w:rPr>
          <w:b/>
          <w:bCs/>
          <w:lang w:val="el" w:eastAsia="el"/>
        </w:rPr>
        <w:t>Την υπό στοιχεία Α. 1040/2023 Απόφαση των Υπουργών Οικονομικών - Εργασίας &amp; Κοινωνικών Υποθέσεων «Καθορισμός του τρόπου υπολογισμού της αύξησης του μέσου αριθμού εργαζομένων με σχέση εργασίας πλήρους απασχόλησης, του τρόπου και της διαδικασίας διακρίβωσης και ελέγχου των προϋποθέσεων και κάθε άλλης αναγκαίας λεπτομέρειας, προκειμένου για την εφαρμογή των διατάξεων εξαίρεσης από το τέλος επιτηδεύματος της παρ. 3α του άρθρου 31 του ν. 3986/2011 (Α’ 152), που προστέθηκε με το άρθρο 180 του ν. 4972/2022 (Α’ 181)» (Β’ 2122), όπως τροποποιήθηκε με την υπό στοιχεία Α.1091/2023 (Β΄4153) κοινή απόφαση των Υπουργών Οικονομικών και Εργασίας και Κοινωνικών Υποθέσεων.</w:t>
      </w:r>
    </w:p>
    <w:p>
      <w:pPr>
        <w:pStyle w:val="PreambelText"/>
        <w:spacing w:before="240" w:after="240"/>
        <w:rPr>
          <w:lang w:val="el" w:eastAsia="el"/>
        </w:rPr>
      </w:pPr>
      <w:r>
        <w:rPr>
          <w:b/>
          <w:bCs/>
          <w:lang w:val="el" w:eastAsia="el"/>
        </w:rPr>
        <w:t xml:space="preserve">13. </w:t>
      </w:r>
      <w:r>
        <w:rPr>
          <w:b/>
          <w:bCs/>
          <w:lang w:val="el" w:eastAsia="el"/>
        </w:rPr>
        <w:t>Την από 27.7.2023 εισήγηση Διοικητή της Ανεξάρτητης Αρχής Δημοσίων Εσόδων.</w:t>
      </w:r>
    </w:p>
    <w:p>
      <w:pPr>
        <w:pStyle w:val="PreambelText"/>
        <w:spacing w:before="240" w:after="240"/>
        <w:rPr>
          <w:lang w:val="el" w:eastAsia="el"/>
        </w:rPr>
      </w:pPr>
      <w:r>
        <w:rPr>
          <w:b/>
          <w:bCs/>
          <w:lang w:val="el" w:eastAsia="el"/>
        </w:rPr>
        <w:t xml:space="preserve">14. </w:t>
      </w:r>
      <w:r>
        <w:rPr>
          <w:b/>
          <w:bCs/>
          <w:lang w:val="el" w:eastAsia="el"/>
        </w:rPr>
        <w:t>Την ανάγκη διευκόλυνσης της διαδικασίας υποβολής των δηλώσεων φορολογίας εισοδήματος.</w:t>
      </w:r>
    </w:p>
    <w:p>
      <w:pPr>
        <w:pStyle w:val="PreambelText"/>
        <w:spacing w:before="240" w:after="240"/>
        <w:rPr>
          <w:lang w:val="el" w:eastAsia="el"/>
        </w:rPr>
      </w:pPr>
      <w:r>
        <w:rPr>
          <w:b/>
          <w:bCs/>
          <w:lang w:val="el" w:eastAsia="el"/>
        </w:rPr>
        <w:t xml:space="preserve">15. </w:t>
      </w:r>
      <w:r>
        <w:rPr>
          <w:b/>
          <w:bCs/>
          <w:lang w:val="el" w:eastAsia="el"/>
        </w:rPr>
        <w:t>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 παρ. 5 του άρθρου 4 της υπό στοιχεία Α. 1040/2023 απόφασης των Υπουργών Οικονομικών - Εργασίας &amp; Κοινωνικών Υποθέσεων (Β’ 2122), αντικαθίσταται ως εξής:</w:t>
      </w:r>
    </w:p>
    <w:p>
      <w:pPr>
        <w:spacing w:before="240" w:after="240"/>
        <w:rPr>
          <w:lang w:val="el" w:eastAsia="el"/>
        </w:rPr>
      </w:pPr>
      <w:r>
        <w:rPr>
          <w:b/>
          <w:bCs/>
          <w:lang w:val="el" w:eastAsia="el"/>
        </w:rPr>
        <w:t>«5. Ειδικά για το φορολογικό έτος 2022, η ΑΑΔΕ ενημερώνει με μήνυμα ηλεκτρονικού ταχυδρομείου τις επιχειρήσεις, οι οποίες πληρούν την προϋπόθεση της παρ.2 του άρθρου 2 της παρούσας, των οποίων το φορολογικό έτος λήγει:</w:t>
      </w:r>
    </w:p>
    <w:p>
      <w:pPr>
        <w:spacing w:before="240" w:after="240"/>
        <w:rPr>
          <w:lang w:val="el" w:eastAsia="el"/>
        </w:rPr>
      </w:pPr>
      <w:r>
        <w:rPr>
          <w:b/>
          <w:bCs/>
          <w:lang w:val="el" w:eastAsia="el"/>
        </w:rPr>
        <w:t>α) έως τις 31.1.2023, μέχρι τις 7 Ιουλίου 2023,</w:t>
      </w:r>
    </w:p>
    <w:p>
      <w:pPr>
        <w:spacing w:before="240" w:after="240"/>
        <w:rPr>
          <w:lang w:val="el" w:eastAsia="el"/>
        </w:rPr>
      </w:pPr>
      <w:r>
        <w:rPr>
          <w:b/>
          <w:bCs/>
          <w:lang w:val="el" w:eastAsia="el"/>
        </w:rPr>
        <w:t>β) έως τις 28.2.2023, μέχρι τις 14 Αυγούστου 2023.</w:t>
      </w:r>
    </w:p>
    <w:p>
      <w:pPr>
        <w:spacing w:before="240" w:after="240"/>
        <w:rPr>
          <w:lang w:val="el" w:eastAsia="el"/>
        </w:rPr>
      </w:pPr>
      <w:r>
        <w:rPr>
          <w:b/>
          <w:bCs/>
          <w:lang w:val="el" w:eastAsia="el"/>
        </w:rPr>
        <w:t>Οι επιχειρήσεις του προηγούμενου εδαφίου που δεν λαμβάνουν το ηλεκτρονικό μήνυμα, λόγω μη διακρίβωσης της πλήρωσης των προϋποθέσεων του προηγούμενου άρθρου, δικαιούνται να υποβάλλουν ένσταση μέχρι τις 28 Αυγούστου 2023».</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Γενικού Γραμματέα Φορολογικής Πολιτικής</w:t>
      </w:r>
    </w:p>
    <w:p>
      <w:pPr>
        <w:spacing w:before="240" w:after="240"/>
        <w:rPr>
          <w:lang w:val="el" w:eastAsia="el"/>
        </w:rPr>
      </w:pPr>
      <w:r>
        <w:rPr>
          <w:b/>
          <w:bCs/>
          <w:lang w:val="el" w:eastAsia="el"/>
        </w:rPr>
        <w:t xml:space="preserve">3.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4. </w:t>
      </w:r>
      <w:r>
        <w:rPr>
          <w:b/>
          <w:bCs/>
          <w:lang w:val="el" w:eastAsia="el"/>
        </w:rPr>
        <w:t>ΔΤΔ – Εγκεκριμένοι Οικονομικοί Φορείς</w:t>
      </w:r>
    </w:p>
    <w:p>
      <w:pPr>
        <w:spacing w:before="240" w:after="240"/>
        <w:rPr>
          <w:lang w:val="el" w:eastAsia="el"/>
        </w:rPr>
      </w:pPr>
      <w:r>
        <w:rPr>
          <w:b/>
          <w:bCs/>
          <w:lang w:val="el" w:eastAsia="el"/>
        </w:rPr>
        <w:t xml:space="preserve">5. </w:t>
      </w:r>
      <w:r>
        <w:rPr>
          <w:b/>
          <w:bCs/>
          <w:lang w:val="el" w:eastAsia="el"/>
        </w:rPr>
        <w:t>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6.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 xml:space="preserve">7. </w:t>
      </w:r>
      <w:r>
        <w:rPr>
          <w:b/>
          <w:bCs/>
          <w:lang w:val="el" w:eastAsia="el"/>
        </w:rPr>
        <w:t>Υπουργείο Εργασίας &amp; Κοινωνικών Υποθέσεων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mailto:deaf.a@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