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 Β’ 5234/29.8.2023</w:t>
      </w:r>
    </w:p>
    <w:p>
      <w:pPr>
        <w:pStyle w:val="Title"/>
        <w:spacing w:before="120" w:after="360"/>
        <w:rPr>
          <w:lang w:val="el" w:eastAsia="el"/>
        </w:rPr>
      </w:pPr>
      <w:r>
        <w:rPr>
          <w:b/>
          <w:bCs/>
          <w:lang w:val="el" w:eastAsia="el"/>
        </w:rPr>
        <w:t>ΑΔΑ: ΨΧΘ046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 Αυγούστου 2023</w:t>
      </w:r>
    </w:p>
    <w:p>
      <w:pPr>
        <w:pStyle w:val="PreambelText"/>
        <w:spacing w:before="240" w:after="240"/>
        <w:rPr>
          <w:lang w:val="el" w:eastAsia="el"/>
        </w:rPr>
      </w:pPr>
      <w:r>
        <w:rPr>
          <w:b/>
          <w:bCs/>
          <w:lang w:val="el" w:eastAsia="el"/>
        </w:rPr>
        <w:t>Αριθ. Πρωτ: Α. 1117</w:t>
      </w:r>
    </w:p>
    <w:p>
      <w:pPr>
        <w:pStyle w:val="PreambelText"/>
        <w:spacing w:before="240" w:after="240"/>
        <w:rPr>
          <w:lang w:val="el" w:eastAsia="el"/>
        </w:rPr>
      </w:pPr>
      <w:r>
        <w:rPr>
          <w:b/>
          <w:bCs/>
          <w:lang w:val="el" w:eastAsia="el"/>
        </w:rPr>
        <w:t>Ι. ΓΕΝΙΚΗ ΔΙΕΥΘΥΝΣΗ ΦΟΡΟΛΟΓΙΑΣ (Γ.Δ.Φ.)</w:t>
      </w:r>
    </w:p>
    <w:p>
      <w:pPr>
        <w:pStyle w:val="PreambelText"/>
        <w:spacing w:before="240" w:after="240"/>
        <w:rPr>
          <w:lang w:val="el" w:eastAsia="el"/>
        </w:rPr>
      </w:pPr>
      <w:r>
        <w:rPr>
          <w:b/>
          <w:bCs/>
          <w:lang w:val="el" w:eastAsia="el"/>
        </w:rPr>
        <w:t>Α. 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Τηλέφωνα : 210 3375312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deaf.b@aade.gr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ΓΕΝΙΚΗ Δ/ΝΣΗ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(ΔΙ.ΕΠ.ΔΙ.)</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Πειραιώς 72 &amp; Πύργου</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1069/16.5.2023 (Β’ 3285) απόφασης</w:t>
      </w:r>
    </w:p>
    <w:p>
      <w:pPr>
        <w:spacing w:before="240" w:after="240"/>
        <w:rPr>
          <w:lang w:val="el" w:eastAsia="el"/>
        </w:rPr>
      </w:pPr>
      <w:r>
        <w:rPr>
          <w:b/>
          <w:bCs/>
          <w:lang w:val="el" w:eastAsia="el"/>
        </w:rPr>
        <w:t>του Υπουργού, του Αναπληρωτή Υπουργού και του Υφυπουργού Οικονομικών με θέμα «Καθορισμός του τύπου και περιεχόμενου της δήλωσης Προσωρινής Συνεισφοράς Αλληλεγγύης (Π.Σ.Α.) του άρθρου 114 του ν. 5007/2022 (Α΄ 241), καθώς και κάθε διαδικαστικής λεπτομέρειας για τον προσδιορισμό και την είσπραξη της συνεισφοράς αυτής.».</w:t>
      </w:r>
    </w:p>
    <w:p>
      <w:pPr>
        <w:spacing w:before="240" w:after="240"/>
        <w:rPr>
          <w:lang w:val="el" w:eastAsia="el"/>
        </w:rPr>
      </w:pPr>
      <w:r>
        <w:rPr>
          <w:b/>
          <w:bCs/>
          <w:lang w:val="el" w:eastAsia="el"/>
        </w:rPr>
        <w:t>ΑΠΟΦΑΣΗΟ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11 του άρθρου 114 του ν.5007/2022 (Α΄241),</w:t>
      </w:r>
    </w:p>
    <w:p>
      <w:pPr>
        <w:pStyle w:val="StructureList1"/>
        <w:spacing w:before="120" w:after="0"/>
        <w:rPr>
          <w:lang w:val="el" w:eastAsia="el"/>
        </w:rPr>
      </w:pPr>
      <w:r>
        <w:rPr>
          <w:lang w:val="el" w:eastAsia="el"/>
        </w:rPr>
        <w:t>β)</w:t>
      </w:r>
      <w:r>
        <w:rPr>
          <w:lang w:val="en" w:eastAsia="en"/>
        </w:rPr>
        <w:tab/>
      </w:r>
      <w:r>
        <w:rPr>
          <w:b/>
          <w:bCs/>
          <w:lang w:val="el" w:eastAsia="el"/>
        </w:rPr>
        <w:t>τις διατάξεις του Κώδικα Φορολογικής Διαδικασίας (ΚΦΔ) ν.4987/2022 (Α΄206), γ) 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(ΑΑΔΕ)»(Β΄4738).</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3. </w:t>
      </w:r>
      <w:r>
        <w:rPr>
          <w:b/>
          <w:bCs/>
          <w:lang w:val="el" w:eastAsia="el"/>
        </w:rPr>
        <w:t>α)το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 130),</w:t>
      </w:r>
    </w:p>
    <w:p>
      <w:pPr>
        <w:spacing w:before="240" w:after="240"/>
        <w:rPr>
          <w:lang w:val="el" w:eastAsia="el"/>
        </w:rPr>
      </w:pPr>
      <w:r>
        <w:rPr>
          <w:b/>
          <w:bCs/>
          <w:lang w:val="el" w:eastAsia="el"/>
        </w:rPr>
        <w:t>β)το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b/>
          <w:bCs/>
          <w:lang w:val="el" w:eastAsia="el"/>
        </w:rPr>
        <w:t>4. το π.δ. 79/2023 «Διορισμός Υπουργών, Αναπληρωτών Υπουργών και Υφυπουργών» (Α΄131), 5. Την υπ’ αρ. 102916/10.7. 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xml:space="preserve">6.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hyperlink r:id="rId7" w:history="1">
        <w:r>
          <w:rPr>
            <w:rStyle w:val="Hyperlink"/>
            <w:b/>
            <w:bCs/>
            <w:color w:val="0000EE"/>
            <w:u w:color="0000EE"/>
            <w:lang w:val="el" w:eastAsia="el"/>
          </w:rPr>
          <w:t xml:space="preserve">παρ. </w:t>
        </w:r>
        <w:r>
          <w:rPr>
            <w:rStyle w:val="Hyperlink"/>
            <w:b/>
            <w:bCs/>
            <w:color w:val="0000EE"/>
            <w:u w:color="0000EE"/>
            <w:lang w:val="el" w:eastAsia="el"/>
          </w:rPr>
          <w:t xml:space="preserve">10 </w:t>
        </w:r>
        <w:r>
          <w:rPr>
            <w:rStyle w:val="Hyperlink"/>
            <w:b/>
            <w:bCs/>
            <w:color w:val="0000EE"/>
            <w:u w:color="0000EE"/>
            <w:lang w:val="el" w:eastAsia="el"/>
          </w:rPr>
          <w:t xml:space="preserve">του άρθρου </w:t>
        </w:r>
        <w:r>
          <w:rPr>
            <w:rStyle w:val="Hyperlink"/>
            <w:b/>
            <w:bCs/>
            <w:color w:val="0000EE"/>
            <w:u w:color="0000EE"/>
            <w:lang w:val="el" w:eastAsia="el"/>
          </w:rPr>
          <w:t xml:space="preserve">41 </w:t>
        </w:r>
        <w:r>
          <w:rPr>
            <w:rStyle w:val="Hyperlink"/>
            <w:b/>
            <w:bCs/>
            <w:color w:val="0000EE"/>
            <w:u w:color="0000EE"/>
            <w:lang w:val="el" w:eastAsia="el"/>
          </w:rPr>
          <w:t xml:space="preserve">του ν. </w:t>
        </w:r>
        <w:r>
          <w:rPr>
            <w:rStyle w:val="Hyperlink"/>
            <w:b/>
            <w:bCs/>
            <w:color w:val="0000EE"/>
            <w:u w:color="0000EE"/>
            <w:lang w:val="el" w:eastAsia="el"/>
          </w:rPr>
          <w:t>4389/2016</w:t>
        </w:r>
      </w:hyperlink>
      <w:r>
        <w:rPr>
          <w:b/>
          <w:bCs/>
          <w:lang w:val="el" w:eastAsia="el"/>
        </w:rPr>
        <w:t>,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7. </w:t>
      </w:r>
      <w:r>
        <w:rPr>
          <w:b/>
          <w:bCs/>
          <w:lang w:val="el" w:eastAsia="el"/>
        </w:rPr>
        <w:t>Την υπό στοιχεία Α. 1069/16.5.2023 (Β’ 3285) απόφαση του Υπουργού, του Αναπληρωτή Υπουργού και του Υφυπουργού Οικονομικών με θέμα «Καθορισμός του τύπου και περιεχόμενου της δήλωσης Προσωρινής Συνεισφοράς Αλληλεγγύης (Π.Σ.Α.) του άρθρου 114 του ν. 5007/2022 (Α΄ 241), καθώς και κάθε διαδικαστικής λεπτομέρειας για τον προσδιορισμό και την είσπραξη της συνεισφοράς αυτής»</w:t>
      </w:r>
    </w:p>
    <w:p>
      <w:pPr>
        <w:spacing w:before="240" w:after="240"/>
        <w:rPr>
          <w:lang w:val="el" w:eastAsia="el"/>
        </w:rPr>
      </w:pPr>
      <w:r>
        <w:rPr>
          <w:lang w:val="el" w:eastAsia="el"/>
        </w:rPr>
        <w:t xml:space="preserve">8. </w:t>
      </w:r>
      <w:r>
        <w:rPr>
          <w:b/>
          <w:bCs/>
          <w:lang w:val="el" w:eastAsia="el"/>
        </w:rPr>
        <w:t>Την ανάγκη για ομοιόμορφη εκπλήρωση των φορολογικών υποχρεώσεων των φορολογούμενων, όπως αυτές ορίζονται στο άρθρο 114 του ν. 5007/2022,</w:t>
      </w:r>
    </w:p>
    <w:p>
      <w:pPr>
        <w:spacing w:before="240" w:after="240"/>
        <w:rPr>
          <w:lang w:val="el" w:eastAsia="el"/>
        </w:rPr>
      </w:pPr>
      <w:r>
        <w:rPr>
          <w:lang w:val="el" w:eastAsia="el"/>
        </w:rPr>
        <w:t xml:space="preserve">9. </w:t>
      </w:r>
      <w:r>
        <w:rPr>
          <w:b/>
          <w:bCs/>
          <w:lang w:val="el" w:eastAsia="el"/>
        </w:rPr>
        <w:t>Την από 25.07.2023 εισήγηση του Διοικητή της Ανεξάρτητης Αρχής Δημοσίων Εσόδων, 10.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 1069/16.5.2023 (Β’ 3285) κοινή απόφαση του Υπουργού, του Αναπληρωτή Υπουργού και του Υφυπουργού Οικονομικών με θέμα «Καθορισμός του τύπου</w:t>
      </w:r>
    </w:p>
    <w:p>
      <w:pPr>
        <w:spacing w:before="240" w:after="240"/>
        <w:rPr>
          <w:lang w:val="el" w:eastAsia="el"/>
        </w:rPr>
      </w:pPr>
      <w:r>
        <w:rPr>
          <w:b/>
          <w:bCs/>
          <w:lang w:val="el" w:eastAsia="el"/>
        </w:rPr>
        <w:t>και περιεχόμενου της δήλωσης Προσωρινής Συνεισφοράς Αλληλεγγύης (Π.Σ.Α.) του άρθρου 114 του ν. 5007/2022 (Α΄ 241), καθώς και κάθε διαδικαστικής λεπτομέρειας για τον προσδιορισμό και την είσπραξη της συνεισφοράς αυτής»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3 του άρθρου 3 αντικαθίσταται ως εξής:</w:t>
      </w:r>
    </w:p>
    <w:p>
      <w:pPr>
        <w:spacing w:before="240" w:after="240"/>
        <w:rPr>
          <w:lang w:val="el" w:eastAsia="el"/>
        </w:rPr>
      </w:pPr>
      <w:r>
        <w:rPr>
          <w:b/>
          <w:bCs/>
          <w:lang w:val="el" w:eastAsia="el"/>
        </w:rPr>
        <w:t>«3. Ως φορολογητέα κέρδη ή ζημιές για τον υπολογισμό των πλεοναζόντων κερδών νοούνται τα φορολογητέα κέρδη ή ζημιές του υπόχρεου, που λαμβάνονται υπόψη για την επιβολή του φόρου εισοδήματος, ήτοι τα φορολογητέα κέρδη ή ζημίες που δηλώνονται στους κωδικούς 001 ή 003 του εντύπου Ν, αντίστοιχα, μη λαμβανομένου υπόψη, για το φορολογικό έτος 2022, του ποσού που αναγράφεται στον κωδικό 458, κατά το μέρος που αφορά το ποσό της ΠΣΑ.</w:t>
      </w:r>
    </w:p>
    <w:p>
      <w:pPr>
        <w:spacing w:before="240" w:after="240"/>
        <w:rPr>
          <w:lang w:val="el" w:eastAsia="el"/>
        </w:rPr>
      </w:pPr>
      <w:r>
        <w:rPr>
          <w:b/>
          <w:bCs/>
          <w:lang w:val="el" w:eastAsia="el"/>
        </w:rPr>
        <w:t>Εάν το αποτέλεσμα του φορολογικού έτους 2022 είναι ζημιογόνο, δεν καταβάλλεται Προσωρινή Συνεισφορά Αλληλεγγύης.»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3 προστίθεται παρ. 6 ως εξής:</w:t>
      </w:r>
    </w:p>
    <w:p>
      <w:pPr>
        <w:spacing w:before="240" w:after="240"/>
        <w:rPr>
          <w:lang w:val="el" w:eastAsia="el"/>
        </w:rPr>
      </w:pPr>
      <w:r>
        <w:rPr>
          <w:b/>
          <w:bCs/>
          <w:lang w:val="el" w:eastAsia="el"/>
        </w:rPr>
        <w:t>«6. Οι υπόχρεοι του άρθρου 2 της παρούσας δύνανται, κατά τον προσδιορισμό των φορολογητέων κερδών για σκοπούς επιβολής φόρου εισοδήματος, να εκπίπτουν κατά το φορολογικό έτος 2022, το ποσό της ΠΣΑ ως δαπάνη, το οποίο αναγράφεται στον κωδικό 458 του εντύπου 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 Εθνικής Οικονομίας</w:t>
      </w:r>
    </w:p>
    <w:p>
      <w:pPr>
        <w:spacing w:before="240" w:after="240"/>
        <w:rPr>
          <w:lang w:val="el" w:eastAsia="el"/>
        </w:rPr>
      </w:pPr>
      <w:r>
        <w:rPr>
          <w:b/>
          <w:bCs/>
          <w:lang w:val="el" w:eastAsia="el"/>
        </w:rPr>
        <w:t>και Οικονομικών</w:t>
      </w:r>
    </w:p>
    <w:p>
      <w:pPr>
        <w:spacing w:before="240" w:after="240"/>
        <w:rPr>
          <w:lang w:val="el" w:eastAsia="el"/>
        </w:rPr>
      </w:pPr>
      <w:r>
        <w:rPr>
          <w:b/>
          <w:bCs/>
          <w:lang w:val="el" w:eastAsia="el"/>
        </w:rPr>
        <w:t>Θ. ΘΕΟΧΑΡΗΣ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Επιχειρησιακών Διαδικασιών</w:t>
      </w:r>
    </w:p>
    <w:p>
      <w:pPr>
        <w:spacing w:before="240" w:after="240"/>
        <w:rPr>
          <w:lang w:val="el" w:eastAsia="el"/>
        </w:rPr>
      </w:pPr>
      <w:r>
        <w:rPr>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lang w:val="el" w:eastAsia="el"/>
        </w:rPr>
        <w:t xml:space="preserve">6.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και Οικονομικών, Επιτροπή Λογιστικής Τυποποίησης και Ελέγχων (ΕΛΤΕ) Βουλής 7 - 105 62, Αθήνα</w:t>
      </w:r>
    </w:p>
    <w:p>
      <w:pPr>
        <w:spacing w:before="240" w:after="240"/>
        <w:rPr>
          <w:lang w:val="el" w:eastAsia="el"/>
        </w:rPr>
      </w:pPr>
      <w:r>
        <w:rPr>
          <w:lang w:val="el" w:eastAsia="el"/>
        </w:rPr>
        <w:t xml:space="preserve">8. </w:t>
      </w:r>
      <w:r>
        <w:rPr>
          <w:b/>
          <w:bCs/>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10183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s://www.forin.gr/laws/law/3474/nomos-4389-2016%23!/?article=41&amp;paragraph=10&amp;bn=1"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