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Α.ΓΕΝΙΚΗ ΔΙΕΥΘΥΝΣΗ ΦΟΡΟΛΟΓΙΑΣ</w:t>
      </w:r>
    </w:p>
    <w:p>
      <w:pPr>
        <w:pStyle w:val="Title"/>
        <w:spacing w:before="120" w:after="360"/>
        <w:rPr>
          <w:lang w:val="el" w:eastAsia="el"/>
        </w:rPr>
      </w:pPr>
      <w:r>
        <w:rPr>
          <w:b/>
          <w:bCs/>
          <w:lang w:val="el" w:eastAsia="el"/>
        </w:rPr>
        <w:t>ΔΙΕΥΘΥΝΣΗ ΔΙΑΔΙΚΑΣΙΩΝ ΕΙΣΠΡΑΞΕΩΝ</w:t>
      </w:r>
    </w:p>
    <w:p>
      <w:pPr>
        <w:pStyle w:val="Title"/>
        <w:spacing w:before="120" w:after="360"/>
        <w:rPr>
          <w:lang w:val="el" w:eastAsia="el"/>
        </w:rPr>
      </w:pPr>
      <w:r>
        <w:rPr>
          <w:b/>
          <w:bCs/>
          <w:lang w:val="el" w:eastAsia="el"/>
        </w:rPr>
        <w:t>ΚΑΙ ΕΠΙΣΤΡΟΦΩΝ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Τηλέφωνα</w:t>
      </w:r>
    </w:p>
    <w:p>
      <w:pPr>
        <w:spacing w:before="240" w:after="240"/>
        <w:rPr>
          <w:lang w:val="el" w:eastAsia="el"/>
        </w:rPr>
      </w:pPr>
      <w:r>
        <w:rPr>
          <w:b/>
          <w:bCs/>
          <w:lang w:val="el" w:eastAsia="el"/>
        </w:rPr>
        <w:t>E-Mail</w:t>
      </w:r>
    </w:p>
    <w:p>
      <w:pPr>
        <w:spacing w:before="240" w:after="240"/>
        <w:rPr>
          <w:lang w:val="el" w:eastAsia="el"/>
        </w:rPr>
      </w:pPr>
      <w:r>
        <w:rPr>
          <w:b/>
          <w:bCs/>
          <w:lang w:val="el" w:eastAsia="el"/>
        </w:rPr>
        <w:t>ΑΔΑ: Ψ3ΟΤ46ΜΠ3Ζ-ΗΚΠ</w:t>
      </w:r>
    </w:p>
    <w:p>
      <w:pPr>
        <w:spacing w:before="240" w:after="240"/>
        <w:rPr>
          <w:lang w:val="el" w:eastAsia="el"/>
        </w:rPr>
      </w:pPr>
      <w:r>
        <w:rPr>
          <w:b/>
          <w:bCs/>
          <w:lang w:val="el" w:eastAsia="el"/>
        </w:rPr>
        <w:t>Αριθ. ΦΕΚ: Β΄5009/09-08-2023</w:t>
      </w:r>
    </w:p>
    <w:p>
      <w:pPr>
        <w:spacing w:before="240" w:after="240"/>
        <w:rPr>
          <w:lang w:val="el" w:eastAsia="el"/>
        </w:rPr>
      </w:pPr>
      <w:r>
        <w:rPr>
          <w:b/>
          <w:bCs/>
          <w:lang w:val="el" w:eastAsia="el"/>
        </w:rPr>
        <w:t>Αθήνα, 3 Αυγούστου 2023</w:t>
      </w:r>
    </w:p>
    <w:p>
      <w:pPr>
        <w:spacing w:before="240" w:after="240"/>
        <w:rPr>
          <w:lang w:val="el" w:eastAsia="el"/>
        </w:rPr>
      </w:pPr>
      <w:r>
        <w:rPr>
          <w:b/>
          <w:bCs/>
          <w:lang w:val="el" w:eastAsia="el"/>
        </w:rPr>
        <w:t>Α.1121</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Β. ΓΕΝΙΚΗ ΔΙΕΥΘΥΝΣΗ ΤΕΛΩΝΕΙΩΝ &amp; Ε.Φ.Κ.</w:t>
      </w:r>
    </w:p>
    <w:p>
      <w:pPr>
        <w:spacing w:before="240" w:after="240"/>
        <w:rPr>
          <w:lang w:val="el" w:eastAsia="el"/>
        </w:rPr>
      </w:pPr>
      <w:r>
        <w:rPr>
          <w:b/>
          <w:bCs/>
          <w:lang w:val="el" w:eastAsia="el"/>
        </w:rPr>
        <w:t>ΔΙΕΥΘΥΝΣΗ ΤΕΛΩΝΕΙΑΚΩΝ ΔΙΑΔΙΚΑΣΙΩΝ - ΤΜΗΜΑ Δ'</w:t>
      </w:r>
    </w:p>
    <w:p>
      <w:pPr>
        <w:spacing w:before="240" w:after="240"/>
        <w:rPr>
          <w:lang w:val="el" w:eastAsia="el"/>
        </w:rPr>
      </w:pPr>
      <w:r>
        <w:rPr>
          <w:b/>
          <w:bCs/>
          <w:lang w:val="el" w:eastAsia="el"/>
        </w:rPr>
        <w:t>Ταχ. Δ/νση : Κηφισίας 124</w:t>
      </w:r>
    </w:p>
    <w:p>
      <w:pPr>
        <w:spacing w:before="240" w:after="240"/>
        <w:rPr>
          <w:lang w:val="el" w:eastAsia="el"/>
        </w:rPr>
      </w:pPr>
      <w:r>
        <w:rPr>
          <w:b/>
          <w:bCs/>
          <w:lang w:val="el" w:eastAsia="el"/>
        </w:rPr>
        <w:t>Ταχ. Κώδικας : 115 26</w:t>
      </w:r>
    </w:p>
    <w:p>
      <w:pPr>
        <w:spacing w:before="240" w:after="240"/>
        <w:rPr>
          <w:lang w:val="el" w:eastAsia="el"/>
        </w:rPr>
      </w:pPr>
      <w:r>
        <w:rPr>
          <w:b/>
          <w:bCs/>
          <w:lang w:val="el" w:eastAsia="el"/>
        </w:rPr>
        <w:t>Τηλέφωνα : 210 6987446</w:t>
      </w:r>
    </w:p>
    <w:p>
      <w:pPr>
        <w:spacing w:before="240" w:after="240"/>
        <w:rPr>
          <w:lang w:val="el" w:eastAsia="el"/>
        </w:rPr>
      </w:pPr>
      <w:r>
        <w:rPr>
          <w:b/>
          <w:bCs/>
          <w:lang w:val="el" w:eastAsia="el"/>
        </w:rPr>
        <w:t>210 6987460</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dtd@aade.gr</w:t>
        </w:r>
      </w:hyperlink>
    </w:p>
    <w:p>
      <w:pPr>
        <w:spacing w:before="240" w:after="240"/>
        <w:rPr>
          <w:lang w:val="el" w:eastAsia="el"/>
        </w:rPr>
      </w:pPr>
      <w:r>
        <w:rPr>
          <w:b/>
          <w:bCs/>
          <w:lang w:val="el" w:eastAsia="el"/>
        </w:rPr>
        <w:t>Θέμα: Ρύθμιση των προϋποθέσεων μεταβολής των επιτοκίων του άρθρου 53 του Κώδικα Φορολογικής Διαδικασίας (ν. 4987/2022)-Κατάργηση της παρ. 2 της υπό στοιχεία Α.1153/2022 απόφασης του Υπουργού Οικονομικών «Τροποποίηση της υπό στοιχεία ΔΠΕΙΣ 1198598 ΕΞ 31.12.2013 απόφασης του Υπουργού Οικονομικών “Καθορισμός των επιτοκίων του άρθρου 53 του ν.4174/2013” (Β΄19/2014 και Β΄113/2014)» (Β΄5635)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παρ.4 του άρθρου 53 και των άρθρων 70 και 71 του Κώδικα Φορολογικής Διαδικασίας (ν. 4987/2022, Α’ 206),</w:t>
      </w:r>
    </w:p>
    <w:p>
      <w:pPr>
        <w:pStyle w:val="StructureList1"/>
        <w:spacing w:before="120" w:after="0"/>
        <w:rPr>
          <w:lang w:val="el" w:eastAsia="el"/>
        </w:rPr>
      </w:pPr>
      <w:r>
        <w:rPr>
          <w:lang w:val="el" w:eastAsia="el"/>
        </w:rPr>
        <w:t>β)</w:t>
      </w:r>
      <w:r>
        <w:rPr>
          <w:lang w:val="en" w:eastAsia="en"/>
        </w:rPr>
        <w:tab/>
      </w:r>
      <w:r>
        <w:rPr>
          <w:b/>
          <w:bCs/>
          <w:lang w:val="el" w:eastAsia="el"/>
        </w:rPr>
        <w:t>των άρθρων 6, 84 και 85 του Κώδικα Είσπραξης Δημοσίων Εσόδων (ν.4978/2022, Α’ 190), γ) του π.δ. 142/2017 «Οργανισμός Υπουργείου Οικονομικών» (Α΄ 181),</w:t>
      </w:r>
    </w:p>
    <w:p>
      <w:pPr>
        <w:pStyle w:val="StructureList1"/>
        <w:spacing w:before="120" w:after="0"/>
        <w:rPr>
          <w:lang w:val="el" w:eastAsia="el"/>
        </w:rPr>
      </w:pPr>
      <w:r>
        <w:rPr>
          <w:lang w:val="el" w:eastAsia="el"/>
        </w:rPr>
        <w:t>δ)</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 ε) Το π.δ. 79/2023 «Διορισμός Υπουργών, Αναπληρωτών Υπουργών και Υφυπουργών» (Α΄131) και</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 ΟΡΓ. 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(Α΄94) και τις αποφάσεις: υπ’ 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υπό στοιχεία ΔΠΕΙΣ 1198598 ΕΞ 2013/31.12.2013 απόφαση του Υπουργού Οικονομικών «Καθορισμός των επιτοκίων του άρθρου 53 του ν.4174/2013» (Β΄19/2014 και Β΄113/2014).</w:t>
      </w:r>
    </w:p>
    <w:p>
      <w:pPr>
        <w:spacing w:before="240" w:after="240"/>
        <w:rPr>
          <w:lang w:val="el" w:eastAsia="el"/>
        </w:rPr>
      </w:pPr>
      <w:r>
        <w:rPr>
          <w:lang w:val="el" w:eastAsia="el"/>
        </w:rPr>
        <w:t xml:space="preserve">4. </w:t>
      </w:r>
      <w:r>
        <w:rPr>
          <w:b/>
          <w:bCs/>
          <w:lang w:val="el" w:eastAsia="el"/>
        </w:rPr>
        <w:t>Την υπό στοιχεία Α.1153/2.11.2022 απόφαση του Υπουργού Οικονομικών «Τροποποίηση της υπό στοιχεία ΔΠΕΙΣ 1198598 ΕΞ 31.12.2013 απόφασης του Υπουργού Οικονομικών “Καθορισμός των επιτοκίων του άρθρου 53 του ν.4174/2013” (Β΄19/2014 και Β΄113/2014)» (Β΄5635) και την ανάγκη κατάργησης της παρ. 2 του άρθρου μόνου αυτής.</w:t>
      </w:r>
    </w:p>
    <w:p>
      <w:pPr>
        <w:spacing w:before="240" w:after="240"/>
        <w:rPr>
          <w:lang w:val="el" w:eastAsia="el"/>
        </w:rPr>
      </w:pPr>
      <w:r>
        <w:rPr>
          <w:lang w:val="el" w:eastAsia="el"/>
        </w:rPr>
        <w:t xml:space="preserve">5. </w:t>
      </w:r>
      <w:r>
        <w:rPr>
          <w:b/>
          <w:bCs/>
          <w:lang w:val="el" w:eastAsia="el"/>
        </w:rPr>
        <w:t>Το γεγονός ότι από την απόφαση αυτή δεν προκαλείται δαπάνη σε βάρος του κρατικού προϋπολογισμού καθώς και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Κατ’ εξαίρεση των οριζομένων στο άρθρο 3 της υπό στοιχεία ΔΠΕΙΣ 1198598 ΕΞ 31.12.2013 απόφασης του Υπουργού Οικονομικών (Β΄19/2014 και Β΄113/2014) και για δύο (2) έτη από την ημερομηνία δημοσίευσης της παρούσας απόφασης, το επιτόκιο των άρθρων 1 και 2 της υπό στοιχεία ΔΠΕΙΣ 1198598 ΕΞ 31.12.2013 απόφασης του Υπουργού Οικονομικών δεν μεταβάλλεται κατά το μέρος που αφορά το επιτόκιο των πράξεων Κύριας Αναχρηματοδότησης της Ευρωπαϊκής Κεντρικής Τράπεζας (MRO) πριν την εκάστοτε σωρευτική μεταβολή αυτού κατά πέντε (5) εκατοστιαίες μονάδες λαμβανομένου ως βάση υπολογισμού του επιτοκίου που ίσχυε κατά την 1η.1.2014.</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2 του άρθρου μόνου της υπό στοιχεία Α. 1153/2022 απόφασης του Υπουργού Οικονομικών (Β΄5635) καταργείται.</w:t>
      </w:r>
    </w:p>
    <w:p>
      <w:pPr>
        <w:pStyle w:val="MainText"/>
        <w:spacing w:before="120" w:after="0"/>
        <w:rPr>
          <w:lang w:val="el" w:eastAsia="el"/>
        </w:rPr>
      </w:pPr>
      <w:r>
        <w:rPr>
          <w:b/>
          <w:bCs/>
          <w:lang w:val="el" w:eastAsia="el"/>
        </w:rPr>
        <w:t>3.</w:t>
      </w:r>
      <w:r>
        <w:rPr>
          <w:lang w:val="el" w:eastAsia="el"/>
        </w:rPr>
        <w:t xml:space="preserve"> </w:t>
      </w:r>
      <w:r>
        <w:rPr>
          <w:b/>
          <w:bCs/>
          <w:lang w:val="el" w:eastAsia="el"/>
        </w:rPr>
        <w:t>Οι διατάξεις της παρούσας ισχύουν από 02.08.2023.</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ΥΠΟΥΡΓΟΣ ΕΘΝΙΚΗΣ ΟΙΚΟΝΟΜΙΑΣ ΚΑΙ ΟΙΚΟΝΟΜΙΚΩΝ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Γ΄&amp; Δ΄</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Α΄ (πλην των αποδεκτών προς ενέργεια), Β, Ε, ΣΤ, Ζ, Η, Θ (εκτός Εθνικού Τυπογραφείου), Ι, ΙΒ, ΙΔ, ΙΕ, ΙΣΤ</w:t>
      </w:r>
    </w:p>
    <w:p>
      <w:pPr>
        <w:pStyle w:val="MainText"/>
        <w:spacing w:before="120" w:after="0"/>
        <w:rPr>
          <w:lang w:val="el" w:eastAsia="el"/>
        </w:rPr>
      </w:pPr>
      <w:r>
        <w:rPr>
          <w:b/>
          <w:bCs/>
          <w:lang w:val="el" w:eastAsia="el"/>
        </w:rPr>
        <w:t>4.</w:t>
      </w:r>
      <w:r>
        <w:rPr>
          <w:lang w:val="el" w:eastAsia="el"/>
        </w:rPr>
        <w:t xml:space="preserve"> </w:t>
      </w:r>
      <w:r>
        <w:rPr>
          <w:b/>
          <w:bCs/>
          <w:lang w:val="el" w:eastAsia="el"/>
        </w:rPr>
        <w:t>Γενική Διεύθυνση Τελωνείων και Ειδικών Φόρων Κατανάλωσης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Επικοινωνίας και Ενημέρωσης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Προϊσταμένων Γενικών Διευθύνσεων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Τμήματα Α-Γ,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Τελωνειακών Διαδικασιών</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