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Τροποποίηση της υπό στοιχεία 1138050/4885/1436/A0014/ΠΟΛ. 1338/30-12-1996 απόφασης του Υφυπουργού Οικονομικών «Διαδικασία απαλλαγής από Φ.Π.Α. της παράδοσης αγαθών που πραγματοποιείται από υποκείμενο στο φόρο εγκατεστημένο στο εσωτερικό της χώρας προς αγοραστή – ταξιδιώτη μη εγκατεστημένο στο εσωτερικό της Κοινότητας και ο οποίος αναχωρεί για τρίτη Χώρα από την Ελλάδα ή μέσω άλλου Κ –Μ-» (Β’ 18).</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Της περ. β) της παρ. 1, σε συνδυασμό με την εξουσιοδοτική διάταξη της παρ. 2 του άρθρου 24 του Κώδικα Φόρου Προστιθέμενης Αξίας (ν. 2859/2000, Α’ 248),</w:t>
      </w:r>
    </w:p>
    <w:p>
      <w:pPr>
        <w:pStyle w:val="PreambelText"/>
        <w:spacing w:before="240" w:after="240"/>
        <w:rPr>
          <w:lang w:val="el" w:eastAsia="el"/>
        </w:rPr>
      </w:pPr>
      <w:r>
        <w:rPr>
          <w:b/>
          <w:bCs/>
          <w:lang w:val="el" w:eastAsia="el"/>
        </w:rPr>
        <w:t>β.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PreambelText"/>
        <w:spacing w:before="240" w:after="240"/>
        <w:rPr>
          <w:lang w:val="el" w:eastAsia="el"/>
        </w:rPr>
      </w:pPr>
      <w:r>
        <w:rPr>
          <w:b/>
          <w:bCs/>
          <w:lang w:val="el" w:eastAsia="el"/>
        </w:rPr>
        <w:t>γ. της υπό στοιχεία Δ.ΟΡΓ.Α. 1125859 ΕΞ 2020/23-10-2020 απόφασης του Διοικητή της Ανεξάρτητης Αρχής Δημοσίων Εσόδων «Οργανισμός της Ανεξάρτητης Αρχής Δημοσίων Εσόδων» (Β΄4738).</w:t>
      </w:r>
    </w:p>
    <w:p>
      <w:pPr>
        <w:pStyle w:val="PreambelText"/>
        <w:spacing w:before="240" w:after="240"/>
        <w:rPr>
          <w:lang w:val="el" w:eastAsia="el"/>
        </w:rPr>
      </w:pPr>
      <w:r>
        <w:rPr>
          <w:lang w:val="el" w:eastAsia="el"/>
        </w:rPr>
        <w:t xml:space="preserve">2. </w:t>
      </w:r>
      <w:r>
        <w:rPr>
          <w:b/>
          <w:bCs/>
          <w:lang w:val="el" w:eastAsia="el"/>
        </w:rPr>
        <w:t>Την υπό στοιχεία Δ6Α 1015213 ΕΞ/28.01.2013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 3 του άρθρου 41 του ν. 4389/2016 (Α΄ 94).</w:t>
      </w:r>
    </w:p>
    <w:p>
      <w:pPr>
        <w:pStyle w:val="PreambelText"/>
        <w:spacing w:before="240" w:after="240"/>
        <w:rPr>
          <w:lang w:val="el" w:eastAsia="el"/>
        </w:rPr>
      </w:pPr>
      <w:r>
        <w:rPr>
          <w:b/>
          <w:bCs/>
          <w:lang w:val="el" w:eastAsia="el"/>
        </w:rPr>
        <w:t>Την υπ’ αρ. 1138050/4885/1436/A0014/ΠΟΛ.1338/30-12-1996 απόφαση του Υφυπουργού Οικονομικών «Διαδικασία απαλλαγής από Φ.Π.Α. της παράδοσης αγαθών που πραγματοποιείται από υποκείμενο στο φόρο εγκατεστημένο στο εσωτερικό της χώρας προς αγοραστή – ταξιδιώτη μη εγκατεστημένο στο εσωτερικό της Κοινότητας και ο οποίος αναχωρεί για τρίτη χώρα από την Ελλάδα ή μέσω άλλου Κ –Μ-» (Β’18).</w:t>
      </w:r>
    </w:p>
    <w:p>
      <w:pPr>
        <w:pStyle w:val="PreambelText"/>
        <w:spacing w:before="240" w:after="240"/>
        <w:rPr>
          <w:lang w:val="el" w:eastAsia="el"/>
        </w:rPr>
      </w:pPr>
      <w:r>
        <w:rPr>
          <w:lang w:val="el" w:eastAsia="el"/>
        </w:rPr>
        <w:t xml:space="preserve">4. </w:t>
      </w:r>
      <w:r>
        <w:rPr>
          <w:b/>
          <w:bCs/>
          <w:lang w:val="el" w:eastAsia="el"/>
        </w:rPr>
        <w:t>Την υπ’ αρ.1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(Α΄ 94) και τις υπ’ αρ. 39/3/30-11-2017 (Υ.Ο.Δ.Δ. 689) αποφάσεις του Συμβουλίου Διοίκησης της ΑΑΔΕ και την υπ’ αρ. 5294/17.01.2020 του Υπουργού Οικονομικών «Ανανέωση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5. </w:t>
      </w:r>
      <w:r>
        <w:rPr>
          <w:b/>
          <w:bCs/>
          <w:lang w:val="el" w:eastAsia="el"/>
        </w:rPr>
        <w:t>Την ανάγκη τροποποίησης της ανωτέρω υπό στοιχεία 1138050/4885/1436/A0014/ΠΟΛ 1338/30-12-1996 απόφασης του Υφυπουργού Οικονομικών, προκειμένου να ενταχθούν στο πεδίο εφαρμογής αυτής και είδη διατροφής και ποτά με αλκοόλη, για την ενίσχυση της ανταγωνιστικότητας των ελληνικών εταιρειών λιανικής πώλησης και προώθησης του εξαγωγικού εμπορίου.</w:t>
      </w:r>
    </w:p>
    <w:p>
      <w:pPr>
        <w:pStyle w:val="PreambelText"/>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7. </w:t>
      </w:r>
      <w:r>
        <w:rPr>
          <w:b/>
          <w:bCs/>
          <w:lang w:val="el" w:eastAsia="el"/>
        </w:rPr>
        <w:t>Την υπό στοιχεία ΔΔΑΔ Γ 102773 ΕΞ2023/16-02-2023 απόφαση Διοικητή ΑΑΔΕ «Ορισμός Προϊσταμένου Γενικής Διεύθυνσης ως Αναπληρωτή του Διοικητή της Ανεξάρτητης Αρχής Δημοσίων Εσόδων (ΑΑΔΕ), σε περίπτωση βραχυχρόνιας απουσίας ή κωλύματος αυτού, κατά το διάστημα από 13.02.2023 έως και 31.12.2023».</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1138050/4885/1436/A0014/ΠΟΛ.1338/30-12-1996 απόφαση του Υφυπουργού Οικονομικών «Διαδικασία απαλλαγής από Φ.Π.Α. της παράδοσης αγαθών που πραγματοποιείται από υποκείμενο στο φόρο εγκατεστημένο στο εσωτερικό της χώρας προς αγοραστή – ταξιδιώτη μη εγκατεστημένο στο εσωτερικό της Κοινότητας και ο οποίος αναχωρεί για τρίτη Χώρα από την Ελλάδα ή μέσω άλλου Κ–Μ-»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Μετά την παρ. 4 της ενότητας Α του άρθρου 2 προστίθεται παρ. 5, ως εξής:</w:t>
      </w:r>
    </w:p>
    <w:p>
      <w:pPr>
        <w:spacing w:before="240" w:after="240"/>
        <w:rPr>
          <w:lang w:val="el" w:eastAsia="el"/>
        </w:rPr>
      </w:pPr>
      <w:r>
        <w:rPr>
          <w:b/>
          <w:bCs/>
          <w:lang w:val="el" w:eastAsia="el"/>
        </w:rPr>
        <w:t>«5. Τα αγαθά ειδών διατροφής και ποτών με αλκοόλη, πρέπει να είναι προσυσκευασμένα σε συσκευασίες για λιανική πώληση και να πληρούν τις απαιτήσεις επισήμανσης, σύμφωνα με την εθνική και ενωσιακή νομοθεσία.»</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1. της ενότητας Β του άρθρου 2 αντικαθίσταται, ως εξής: «1. Καπνοβιομηχανικά προϊόντα.»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απόφαση ισχύει τριάντα ημέρες μετά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κ.α.α.</w:t>
      </w:r>
    </w:p>
    <w:p>
      <w:pPr>
        <w:spacing w:before="240" w:after="240"/>
        <w:rPr>
          <w:lang w:val="el" w:eastAsia="el"/>
        </w:rPr>
      </w:pPr>
      <w:r>
        <w:rPr>
          <w:b/>
          <w:bCs/>
          <w:lang w:val="el" w:eastAsia="el"/>
        </w:rPr>
        <w:t>Ο Προϊστάμενος της</w:t>
      </w:r>
    </w:p>
    <w:p>
      <w:pPr>
        <w:spacing w:before="240" w:after="240"/>
        <w:rPr>
          <w:lang w:val="el" w:eastAsia="el"/>
        </w:rPr>
      </w:pPr>
      <w:r>
        <w:rPr>
          <w:b/>
          <w:bCs/>
          <w:lang w:val="el" w:eastAsia="el"/>
        </w:rPr>
        <w:t>Γενικής Δ/νσης Φορολογίας</w:t>
      </w:r>
    </w:p>
    <w:p>
      <w:pPr>
        <w:spacing w:before="240" w:after="240"/>
        <w:rPr>
          <w:lang w:val="el" w:eastAsia="el"/>
        </w:rPr>
      </w:pPr>
      <w:r>
        <w:rPr>
          <w:b/>
          <w:bCs/>
          <w:lang w:val="el" w:eastAsia="el"/>
        </w:rPr>
        <w:t>ΓΕΩΡΓΙΟΣ ΦΑΚΟΣ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 xml:space="preserve">1. </w:t>
      </w:r>
      <w:r>
        <w:rPr>
          <w:b/>
          <w:bCs/>
          <w:lang w:val="el" w:eastAsia="el"/>
        </w:rPr>
        <w:t>Τελωνεία</w:t>
      </w:r>
    </w:p>
    <w:p>
      <w:pPr>
        <w:spacing w:before="240" w:after="240"/>
        <w:rPr>
          <w:lang w:val="el" w:eastAsia="el"/>
        </w:rPr>
      </w:pPr>
      <w:r>
        <w:rPr>
          <w:lang w:val="el" w:eastAsia="el"/>
        </w:rPr>
        <w:t xml:space="preserve">2. </w:t>
      </w:r>
      <w:r>
        <w:rPr>
          <w:b/>
          <w:bCs/>
          <w:lang w:val="el" w:eastAsia="el"/>
        </w:rPr>
        <w:t>Τελωνειακές Περιφέρειες</w:t>
      </w:r>
    </w:p>
    <w:p>
      <w:pPr>
        <w:spacing w:before="240" w:after="240"/>
        <w:rPr>
          <w:lang w:val="el" w:eastAsia="el"/>
        </w:rPr>
      </w:pPr>
      <w:r>
        <w:rPr>
          <w:lang w:val="el" w:eastAsia="el"/>
        </w:rPr>
        <w:t xml:space="preserve">3. </w:t>
      </w:r>
      <w:r>
        <w:rPr>
          <w:b/>
          <w:bCs/>
          <w:lang w:val="el" w:eastAsia="el"/>
        </w:rPr>
        <w:t>Ελεγκτικές Υπηρεσίες Τελωνείων (ΕΛ.Υ.Τ.)</w:t>
      </w:r>
    </w:p>
    <w:p>
      <w:pPr>
        <w:spacing w:before="240" w:after="240"/>
        <w:rPr>
          <w:lang w:val="el" w:eastAsia="el"/>
        </w:rPr>
      </w:pPr>
      <w:r>
        <w:rPr>
          <w:lang w:val="el" w:eastAsia="el"/>
        </w:rPr>
        <w:t xml:space="preserve">4. </w:t>
      </w:r>
      <w:r>
        <w:rPr>
          <w:b/>
          <w:bCs/>
          <w:lang w:val="el" w:eastAsia="el"/>
        </w:rPr>
        <w:t>Δ/νση Στρατηγικής Τεχνολογιών Πληροφορικής (ΔΙ.Σ.ΤΕ.ΠΛ.) της Γ.Δ.ΗΕΛ.Δ. (για την ενημέρωση της Ηλεκτρονικής Βιβλιοθήκης και του portal της Α.Α.Δ.Ε) (e-mail : siteadmin @ aade. gr)</w:t>
      </w:r>
    </w:p>
    <w:p>
      <w:pPr>
        <w:spacing w:before="240" w:after="240"/>
        <w:rPr>
          <w:lang w:val="el" w:eastAsia="el"/>
        </w:rPr>
      </w:pPr>
      <w:r>
        <w:rPr>
          <w:lang w:val="el" w:eastAsia="el"/>
        </w:rPr>
        <w:t xml:space="preserve">5. </w:t>
      </w:r>
      <w:r>
        <w:rPr>
          <w:b/>
          <w:bCs/>
          <w:lang w:val="el" w:eastAsia="el"/>
        </w:rPr>
        <w:t>Εθνικό Τυπογραφείο για δημοσίευση της απόφασης</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4. </w:t>
      </w:r>
      <w:r>
        <w:rPr>
          <w:b/>
          <w:bCs/>
          <w:lang w:val="el" w:eastAsia="el"/>
        </w:rPr>
        <w:t>Δ/νση Εσωτερικού Ελέγχου</w:t>
      </w:r>
    </w:p>
    <w:p>
      <w:pPr>
        <w:spacing w:before="240" w:after="240"/>
        <w:rPr>
          <w:lang w:val="el" w:eastAsia="el"/>
        </w:rPr>
      </w:pPr>
      <w:r>
        <w:rPr>
          <w:lang w:val="el" w:eastAsia="el"/>
        </w:rPr>
        <w:t xml:space="preserve">5. </w:t>
      </w:r>
      <w:r>
        <w:rPr>
          <w:b/>
          <w:bCs/>
          <w:lang w:val="el" w:eastAsia="el"/>
        </w:rPr>
        <w:t>Κεντρική Ένωση Επιμελητηρίων (Κ.Ε.Ε.) (με την παράκληση για την ενημέρωση των μελών τους)</w:t>
      </w:r>
    </w:p>
    <w:p>
      <w:pPr>
        <w:spacing w:before="240" w:after="240"/>
        <w:rPr>
          <w:lang w:val="el" w:eastAsia="el"/>
        </w:rPr>
      </w:pPr>
      <w:r>
        <w:rPr>
          <w:lang w:val="el" w:eastAsia="el"/>
        </w:rPr>
        <w:t xml:space="preserve">6. </w:t>
      </w:r>
      <w:r>
        <w:rPr>
          <w:b/>
          <w:bCs/>
          <w:lang w:val="el" w:eastAsia="el"/>
        </w:rPr>
        <w:t>Αποδέκτες Πίνακα Η΄</w:t>
      </w:r>
    </w:p>
    <w:p>
      <w:pPr>
        <w:spacing w:before="240" w:after="240"/>
        <w:rPr>
          <w:lang w:val="el" w:eastAsia="el"/>
        </w:rPr>
      </w:pPr>
      <w:r>
        <w:rPr>
          <w:lang w:val="el" w:eastAsia="el"/>
        </w:rPr>
        <w:t xml:space="preserve">7. </w:t>
      </w:r>
      <w:r>
        <w:rPr>
          <w:b/>
          <w:bCs/>
          <w:lang w:val="el" w:eastAsia="el"/>
        </w:rPr>
        <w:t>Αποδέκτες Πίνακα ΙΒ΄</w:t>
      </w:r>
    </w:p>
    <w:p>
      <w:pPr>
        <w:spacing w:before="240" w:after="240"/>
        <w:rPr>
          <w:lang w:val="el" w:eastAsia="el"/>
        </w:rPr>
      </w:pPr>
      <w:r>
        <w:rPr>
          <w:lang w:val="el" w:eastAsia="el"/>
        </w:rPr>
        <w:t xml:space="preserve">8. </w:t>
      </w:r>
      <w:r>
        <w:rPr>
          <w:b/>
          <w:bCs/>
          <w:lang w:val="el" w:eastAsia="el"/>
        </w:rPr>
        <w:t>Αποδέκτες Πίνακα ΙΣΤ΄</w:t>
      </w:r>
    </w:p>
    <w:p>
      <w:pPr>
        <w:spacing w:before="240" w:after="240"/>
        <w:rPr>
          <w:lang w:val="el" w:eastAsia="el"/>
        </w:rPr>
      </w:pPr>
      <w:r>
        <w:rPr>
          <w:lang w:val="el" w:eastAsia="el"/>
        </w:rPr>
        <w:t xml:space="preserve">9. </w:t>
      </w:r>
      <w:r>
        <w:rPr>
          <w:b/>
          <w:bCs/>
          <w:lang w:val="el" w:eastAsia="el"/>
        </w:rPr>
        <w:t>Ελληνική Στατιστική Αρχή</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ΑΑΔΕ κ. Γ. Πιτσιλή</w:t>
      </w:r>
    </w:p>
    <w:p>
      <w:pPr>
        <w:spacing w:before="240" w:after="240"/>
        <w:rPr>
          <w:lang w:val="el" w:eastAsia="el"/>
        </w:rPr>
      </w:pPr>
      <w:r>
        <w:rPr>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lang w:val="el" w:eastAsia="el"/>
        </w:rPr>
        <w:t xml:space="preserve">3. </w:t>
      </w:r>
      <w:r>
        <w:rPr>
          <w:b/>
          <w:bCs/>
          <w:lang w:val="el" w:eastAsia="el"/>
        </w:rPr>
        <w:t>Αυτοτελές Τμήμα Υποστήριξης Γεν. Δ/νσης Φορολογίας</w:t>
      </w:r>
    </w:p>
    <w:p>
      <w:pPr>
        <w:spacing w:before="240" w:after="240"/>
        <w:rPr>
          <w:lang w:val="el" w:eastAsia="el"/>
        </w:rPr>
      </w:pPr>
      <w:r>
        <w:rPr>
          <w:lang w:val="el" w:eastAsia="el"/>
        </w:rPr>
        <w:t xml:space="preserve">4. </w:t>
      </w:r>
      <w:r>
        <w:rPr>
          <w:b/>
          <w:bCs/>
          <w:lang w:val="el" w:eastAsia="el"/>
        </w:rPr>
        <w:t>Αυτοτελές Τμήμα Γεν. Δ/νσης Φορολογικών Λειτουργιών</w:t>
      </w:r>
    </w:p>
    <w:p>
      <w:pPr>
        <w:spacing w:before="240" w:after="240"/>
        <w:rPr>
          <w:lang w:val="el" w:eastAsia="el"/>
        </w:rPr>
      </w:pPr>
      <w:r>
        <w:rPr>
          <w:lang w:val="el" w:eastAsia="el"/>
        </w:rPr>
        <w:t xml:space="preserve">5. </w:t>
      </w:r>
      <w:r>
        <w:rPr>
          <w:b/>
          <w:bCs/>
          <w:lang w:val="el" w:eastAsia="el"/>
        </w:rPr>
        <w:t>Γεν. Δ/νση Τελωνείων &amp; ΕΦΚ</w:t>
      </w:r>
    </w:p>
    <w:p>
      <w:pPr>
        <w:pStyle w:val="StructureList1"/>
        <w:spacing w:before="120" w:after="0"/>
        <w:rPr>
          <w:lang w:val="el" w:eastAsia="el"/>
        </w:rPr>
      </w:pPr>
      <w:r>
        <w:rPr>
          <w:lang w:val="el" w:eastAsia="el"/>
        </w:rPr>
        <w:t>-</w:t>
      </w:r>
      <w:r>
        <w:rPr>
          <w:lang w:val="en" w:eastAsia="en"/>
        </w:rPr>
        <w:tab/>
      </w:r>
      <w:r>
        <w:rPr>
          <w:b/>
          <w:bCs/>
          <w:lang w:val="el" w:eastAsia="el"/>
        </w:rPr>
        <w:t>Δ/νση ΕΦΚ και ΦΠΑ</w:t>
      </w:r>
    </w:p>
    <w:p>
      <w:pPr>
        <w:pStyle w:val="StructureList1"/>
        <w:spacing w:before="120" w:after="0"/>
        <w:rPr>
          <w:lang w:val="el" w:eastAsia="el"/>
        </w:rPr>
      </w:pPr>
      <w:r>
        <w:rPr>
          <w:lang w:val="el" w:eastAsia="el"/>
        </w:rPr>
        <w:t>-</w:t>
      </w:r>
      <w:r>
        <w:rPr>
          <w:lang w:val="en" w:eastAsia="en"/>
        </w:rPr>
        <w:tab/>
      </w:r>
      <w:r>
        <w:rPr>
          <w:b/>
          <w:bCs/>
          <w:lang w:val="el" w:eastAsia="el"/>
        </w:rPr>
        <w:t>Δ/νση Τελωνειακών Διαδικασιών</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w:t>
      </w:r>
      <w:r>
        <w:rPr>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lang w:val="el" w:eastAsia="el"/>
        </w:rPr>
        <w:t xml:space="preserve">6. </w:t>
      </w:r>
      <w:r>
        <w:rPr>
          <w:b/>
          <w:bCs/>
          <w:lang w:val="el" w:eastAsia="el"/>
        </w:rPr>
        <w:t>Γεν. Δ/νση Φορολογίας</w:t>
      </w:r>
    </w:p>
    <w:p>
      <w:pPr>
        <w:pStyle w:val="StructureList1"/>
        <w:spacing w:before="120" w:after="0"/>
        <w:rPr>
          <w:lang w:val="el" w:eastAsia="el"/>
        </w:rPr>
      </w:pPr>
      <w:r>
        <w:rPr>
          <w:lang w:val="el" w:eastAsia="el"/>
        </w:rPr>
        <w:t>-</w:t>
      </w:r>
      <w:r>
        <w:rPr>
          <w:lang w:val="en" w:eastAsia="en"/>
        </w:rPr>
        <w:tab/>
      </w:r>
      <w:r>
        <w:rPr>
          <w:b/>
          <w:bCs/>
          <w:lang w:val="el" w:eastAsia="el"/>
        </w:rPr>
        <w:t>Δ/νση Εφαρμογής Έμμεσης Φορολογίας</w:t>
      </w:r>
    </w:p>
    <w:p>
      <w:pPr>
        <w:spacing w:before="240" w:after="240"/>
        <w:rPr>
          <w:lang w:val="el" w:eastAsia="el"/>
        </w:rPr>
      </w:pPr>
      <w:r>
        <w:rPr>
          <w:lang w:val="el" w:eastAsia="el"/>
        </w:rPr>
        <w:t xml:space="preserve">7. </w:t>
      </w:r>
      <w:r>
        <w:rPr>
          <w:b/>
          <w:bCs/>
          <w:lang w:val="el" w:eastAsia="el"/>
        </w:rPr>
        <w:t>Γεν. Δ/νση Φορολογικών Λειτουργιών</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Επιχειρησιακού Σχεδιασμού Ελέγχων</w:t>
      </w:r>
    </w:p>
    <w:p>
      <w:pPr>
        <w:spacing w:before="240" w:after="240"/>
        <w:rPr>
          <w:lang w:val="el" w:eastAsia="el"/>
        </w:rPr>
      </w:pPr>
      <w:r>
        <w:rPr>
          <w:lang w:val="el" w:eastAsia="el"/>
        </w:rPr>
        <w:t xml:space="preserve">8. </w:t>
      </w:r>
      <w:r>
        <w:rPr>
          <w:b/>
          <w:bCs/>
          <w:lang w:val="el" w:eastAsia="el"/>
        </w:rPr>
        <w:t>Γεν. Δ/νση Ηλεκτρονικής Διακυβέρνησης</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Επιχειρησιακών Διαδικασιών (ΔΙ.ΕΠΙ.ΔΙ),</w:t>
      </w:r>
    </w:p>
    <w:p>
      <w:pPr>
        <w:spacing w:before="240" w:after="240"/>
        <w:rPr>
          <w:lang w:val="el" w:eastAsia="el"/>
        </w:rPr>
      </w:pPr>
      <w:r>
        <w:rPr>
          <w:b/>
          <w:bCs/>
          <w:lang w:val="el" w:eastAsia="el"/>
        </w:rPr>
        <w:t>Υποδιεύθυνση Β΄: Απαιτήσεων και Ελέγχου Εφαρμογών Τελωνείων</w:t>
      </w:r>
    </w:p>
    <w:p>
      <w:pPr>
        <w:pStyle w:val="StructureList1"/>
        <w:spacing w:before="120" w:after="0"/>
        <w:rPr>
          <w:lang w:val="el" w:eastAsia="el"/>
        </w:rPr>
      </w:pPr>
      <w:r>
        <w:rPr>
          <w:lang w:val="el" w:eastAsia="el"/>
        </w:rPr>
        <w:t>-</w:t>
      </w:r>
      <w:r>
        <w:rPr>
          <w:lang w:val="en" w:eastAsia="en"/>
        </w:rPr>
        <w:tab/>
      </w:r>
      <w:r>
        <w:rPr>
          <w:b/>
          <w:bCs/>
          <w:lang w:val="el" w:eastAsia="el"/>
        </w:rPr>
        <w:t>Δ/νση Ανάπτυξης Τελωνειακών Εφαρμογών (ΔΑΤΕ)</w:t>
      </w:r>
    </w:p>
    <w:p>
      <w:pPr>
        <w:spacing w:before="240" w:after="240"/>
        <w:rPr>
          <w:lang w:val="el" w:eastAsia="el"/>
        </w:rPr>
      </w:pPr>
      <w:r>
        <w:rPr>
          <w:lang w:val="el" w:eastAsia="el"/>
        </w:rPr>
        <w:t xml:space="preserve">9. </w:t>
      </w:r>
      <w:r>
        <w:rPr>
          <w:b/>
          <w:bCs/>
          <w:lang w:val="el" w:eastAsia="el"/>
        </w:rPr>
        <w:t>ετ. GLOBAL BLUE</w:t>
      </w:r>
    </w:p>
    <w:p>
      <w:pPr>
        <w:spacing w:before="240" w:after="240"/>
        <w:rPr>
          <w:lang w:val="el" w:eastAsia="el"/>
        </w:rPr>
      </w:pPr>
      <w:r>
        <w:rPr>
          <w:lang w:val="el" w:eastAsia="el"/>
        </w:rPr>
        <w:t xml:space="preserve">10. </w:t>
      </w:r>
      <w:r>
        <w:rPr>
          <w:b/>
          <w:bCs/>
          <w:lang w:val="el" w:eastAsia="el"/>
        </w:rPr>
        <w:t>ετ. PLANET</w:t>
      </w:r>
    </w:p>
    <w:p>
      <w:pPr>
        <w:spacing w:before="240" w:after="240"/>
        <w:rPr>
          <w:lang w:val="el" w:eastAsia="el"/>
        </w:rPr>
      </w:pPr>
      <w:r>
        <w:rPr>
          <w:lang w:val="el" w:eastAsia="el"/>
        </w:rPr>
        <w:t xml:space="preserve">11. </w:t>
      </w:r>
      <w:r>
        <w:rPr>
          <w:b/>
          <w:bCs/>
          <w:lang w:val="el" w:eastAsia="el"/>
        </w:rPr>
        <w:t>ετ. Refundit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