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Ι. ΓΕΝΙΚΗ ΔΙΕΥΘΥΝΣΗ ΦΟΡΟΛΟΓΙΑΣ</w:t>
      </w:r>
    </w:p>
    <w:p>
      <w:pPr>
        <w:pStyle w:val="Title"/>
        <w:spacing w:before="120" w:after="360"/>
        <w:rPr>
          <w:lang w:val="el" w:eastAsia="el"/>
        </w:rPr>
      </w:pPr>
      <w:r>
        <w:rPr>
          <w:lang w:val="el" w:eastAsia="el"/>
        </w:rPr>
        <w:t xml:space="preserve">1. </w:t>
      </w:r>
      <w:r>
        <w:rPr>
          <w:b/>
          <w:bCs/>
          <w:lang w:val="el" w:eastAsia="el"/>
        </w:rPr>
        <w:t>ΔΙΕΥΘΥΝΣΗ ΕΦΑΡΜΟΓΗΣ ΕΜΜΕΣΗΣ ΦΟΡΟΛΟΓΙΑΣ</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pStyle w:val="Title"/>
        <w:spacing w:before="120" w:after="360"/>
        <w:rPr>
          <w:lang w:val="el" w:eastAsia="el"/>
        </w:rPr>
      </w:pPr>
      <w:r>
        <w:rPr>
          <w:b/>
          <w:bCs/>
          <w:lang w:val="el" w:eastAsia="el"/>
        </w:rPr>
        <w:t>ΙΙ. 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Ταχ. Δ/νση : Καρ. Σερβίας 10,</w:t>
      </w:r>
    </w:p>
    <w:p>
      <w:pPr>
        <w:pStyle w:val="Title"/>
        <w:spacing w:before="120" w:after="360"/>
        <w:rPr>
          <w:lang w:val="el" w:eastAsia="el"/>
        </w:rPr>
      </w:pPr>
      <w:r>
        <w:rPr>
          <w:b/>
          <w:bCs/>
          <w:lang w:val="el" w:eastAsia="el"/>
        </w:rPr>
        <w:t>Ταχ. Κώδικας : 101 84 Αθήνα</w:t>
      </w:r>
    </w:p>
    <w:p>
      <w:pPr>
        <w:pStyle w:val="Title"/>
        <w:spacing w:before="120" w:after="360"/>
        <w:rPr>
          <w:lang w:val="el" w:eastAsia="el"/>
        </w:rPr>
      </w:pPr>
      <w:r>
        <w:rPr>
          <w:b/>
          <w:bCs/>
          <w:lang w:val="el" w:eastAsia="el"/>
        </w:rPr>
        <w:t>Url :</w:t>
      </w:r>
      <w:hyperlink r:id="rId4"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«Παράταση των προθεσμιών εκπλήρωσης των δηλωτικών φορολογικών υποχρεώσεων, παρακρατούμενων φόρων, φόρων μεταβίβασης Κεφαλαίου, ΦΠΑ, τελών και λοιπών έμμεσων φόρων για τους υποκείμενους στον φόρο που έχουν την έδρα ή υποκατάστημα της επιχειρηματικής τους δραστηριότητας ή την κατοικία τους στις περιοχές που επλήγησαν από πυρκαγιές τον Αύγουστο 2023.»</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pStyle w:val="PreambelText"/>
        <w:spacing w:before="240" w:after="240"/>
        <w:rPr>
          <w:lang w:val="el" w:eastAsia="el"/>
        </w:rPr>
      </w:pPr>
      <w:r>
        <w:rPr>
          <w:b/>
          <w:bCs/>
          <w:lang w:val="el" w:eastAsia="el"/>
        </w:rPr>
        <w:t>β. της περ. β΄ της παρ. 12 του άρθρου 38 του Κώδικα Φόρου Προστιθέμενης Αξίας (ν. 2859/2000, Α’ 248),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γ. της περ. β΄ της παρ. 4 και των παρ.5,5α και 5β του άρθρου 36 και του άρθρου 38 του Κώδικα Φόρου Προστιθέμενης Αξίας,</w:t>
      </w:r>
    </w:p>
    <w:p>
      <w:pPr>
        <w:pStyle w:val="PreambelText"/>
        <w:spacing w:before="240" w:after="240"/>
        <w:rPr>
          <w:lang w:val="el" w:eastAsia="el"/>
        </w:rPr>
      </w:pPr>
      <w:r>
        <w:rPr>
          <w:b/>
          <w:bCs/>
          <w:lang w:val="el" w:eastAsia="el"/>
        </w:rPr>
        <w:t>δ. του ν. 4987/2022 «Κύρωση Κώδικα Φορολογικής Διαδικασίας (ΚΦΔ) (Α 206) και ιδίως των άρθρων 18, 31 και 41 αυτού,</w:t>
      </w:r>
    </w:p>
    <w:p>
      <w:pPr>
        <w:pStyle w:val="PreambelText"/>
        <w:spacing w:before="240" w:after="240"/>
        <w:rPr>
          <w:lang w:val="el" w:eastAsia="el"/>
        </w:rPr>
      </w:pPr>
      <w:r>
        <w:rPr>
          <w:b/>
          <w:bCs/>
          <w:lang w:val="el" w:eastAsia="el"/>
        </w:rPr>
        <w:t>ε. των άρθρων 60, 64 και 69 του ν.4172/2013«Φορολογία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(ν. 2961/2001, Α’ 266) και</w:t>
      </w:r>
    </w:p>
    <w:p>
      <w:pPr>
        <w:pStyle w:val="PreambelText"/>
        <w:spacing w:before="240" w:after="240"/>
        <w:rPr>
          <w:lang w:val="el" w:eastAsia="el"/>
        </w:rPr>
      </w:pPr>
      <w:r>
        <w:rPr>
          <w:b/>
          <w:bCs/>
          <w:lang w:val="el" w:eastAsia="el"/>
        </w:rPr>
        <w:t>ζ. του α.ν. 1521/1950 « Περί φόρου μεταβιβάσεως ακινήτων» (Α΄245), ο οποίος κυρώθηκε με το πρώτο άρθρο του ν. 1587/1950 (Α΄294).</w:t>
      </w:r>
    </w:p>
    <w:p>
      <w:pPr>
        <w:pStyle w:val="PreambelText"/>
        <w:spacing w:before="240" w:after="240"/>
        <w:rPr>
          <w:lang w:val="el" w:eastAsia="el"/>
        </w:rPr>
      </w:pPr>
      <w:r>
        <w:rPr>
          <w:b/>
          <w:bCs/>
          <w:lang w:val="el" w:eastAsia="el"/>
        </w:rPr>
        <w:t xml:space="preserve">2.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pStyle w:val="PreambelText"/>
        <w:spacing w:before="240" w:after="240"/>
        <w:rPr>
          <w:lang w:val="el" w:eastAsia="el"/>
        </w:rPr>
      </w:pPr>
      <w:r>
        <w:rPr>
          <w:b/>
          <w:bCs/>
          <w:lang w:val="el" w:eastAsia="el"/>
        </w:rPr>
        <w:t xml:space="preserve">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PreambelText"/>
        <w:spacing w:before="240" w:after="240"/>
        <w:rPr>
          <w:lang w:val="el" w:eastAsia="el"/>
        </w:rPr>
      </w:pPr>
      <w:r>
        <w:rPr>
          <w:b/>
          <w:bCs/>
          <w:lang w:val="el" w:eastAsia="el"/>
        </w:rPr>
        <w:t xml:space="preserve">4. </w:t>
      </w:r>
      <w:r>
        <w:rPr>
          <w:b/>
          <w:bCs/>
          <w:lang w:val="el" w:eastAsia="el"/>
        </w:rPr>
        <w:t>Την υπό στοιχεία ΠΟΛ.1027/2014 απόφαση του Γενικού Γραμματέα Δημοσίων Εσόδων του Υπουργείου Οικονομικών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pStyle w:val="PreambelText"/>
        <w:spacing w:before="240" w:after="240"/>
        <w:rPr>
          <w:lang w:val="el" w:eastAsia="el"/>
        </w:rPr>
      </w:pPr>
      <w:r>
        <w:rPr>
          <w:b/>
          <w:bCs/>
          <w:lang w:val="el" w:eastAsia="el"/>
        </w:rPr>
        <w:t xml:space="preserve">5. </w:t>
      </w:r>
      <w:r>
        <w:rPr>
          <w:b/>
          <w:bCs/>
          <w:lang w:val="el" w:eastAsia="el"/>
        </w:rPr>
        <w:t>Την υπό στοιχεία ΠΟΛ 1028/2014 απόφαση του Γενικού Γραμματέα Δημοσίων Εσόδων του Υπουργείου Οικονομικών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pStyle w:val="PreambelText"/>
        <w:spacing w:before="240" w:after="240"/>
        <w:rPr>
          <w:lang w:val="el" w:eastAsia="el"/>
        </w:rPr>
      </w:pPr>
      <w:r>
        <w:rPr>
          <w:b/>
          <w:bCs/>
          <w:lang w:val="el" w:eastAsia="el"/>
        </w:rPr>
        <w:t xml:space="preserve">6.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 949).</w:t>
      </w:r>
    </w:p>
    <w:p>
      <w:pPr>
        <w:pStyle w:val="PreambelText"/>
        <w:spacing w:before="240" w:after="240"/>
        <w:rPr>
          <w:lang w:val="el" w:eastAsia="el"/>
        </w:rPr>
      </w:pPr>
      <w:r>
        <w:rPr>
          <w:b/>
          <w:bCs/>
          <w:lang w:val="el" w:eastAsia="el"/>
        </w:rPr>
        <w:t xml:space="preserve">7.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pStyle w:val="PreambelText"/>
        <w:spacing w:before="240" w:after="240"/>
        <w:rPr>
          <w:lang w:val="el" w:eastAsia="el"/>
        </w:rPr>
      </w:pPr>
      <w:r>
        <w:rPr>
          <w:b/>
          <w:bCs/>
          <w:lang w:val="el" w:eastAsia="el"/>
        </w:rPr>
        <w:t xml:space="preserve">8. </w:t>
      </w:r>
      <w:r>
        <w:rPr>
          <w:b/>
          <w:bCs/>
          <w:lang w:val="el" w:eastAsia="el"/>
        </w:rPr>
        <w:t>Την υπό στοιχεία Α.1101/2019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pStyle w:val="PreambelText"/>
        <w:spacing w:before="240" w:after="240"/>
        <w:rPr>
          <w:lang w:val="el" w:eastAsia="el"/>
        </w:rPr>
      </w:pPr>
      <w:r>
        <w:rPr>
          <w:b/>
          <w:bCs/>
          <w:lang w:val="el" w:eastAsia="el"/>
        </w:rPr>
        <w:t xml:space="preserve">9. </w:t>
      </w:r>
      <w:r>
        <w:rPr>
          <w:b/>
          <w:bCs/>
          <w:lang w:val="el" w:eastAsia="el"/>
        </w:rPr>
        <w:t>Την υπό στοιχεία Α.1204/2020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 (Β' 3972).</w:t>
      </w:r>
    </w:p>
    <w:p>
      <w:pPr>
        <w:pStyle w:val="PreambelText"/>
        <w:spacing w:before="240" w:after="240"/>
        <w:rPr>
          <w:lang w:val="el" w:eastAsia="el"/>
        </w:rPr>
      </w:pPr>
      <w:r>
        <w:rPr>
          <w:b/>
          <w:bCs/>
          <w:lang w:val="el" w:eastAsia="el"/>
        </w:rPr>
        <w:t xml:space="preserve">10. </w:t>
      </w:r>
      <w:r>
        <w:rPr>
          <w:b/>
          <w:bCs/>
          <w:lang w:val="el" w:eastAsia="el"/>
        </w:rPr>
        <w:t>Το Κεφάλαιο Α’ «Σύσταση Ανεξάρτητης Αρχής Δημοσίων Εσόδων» του Μέρους Πρώτου του ν. 4389/2016 (Α’ 94) και ειδικότερα το άρθρο 7, την παρ. 1 του άρθρου 14 και το άρθρο 41 αυτού.</w:t>
      </w:r>
    </w:p>
    <w:p>
      <w:pPr>
        <w:pStyle w:val="PreambelText"/>
        <w:spacing w:before="240" w:after="240"/>
        <w:rPr>
          <w:lang w:val="el" w:eastAsia="el"/>
        </w:rPr>
      </w:pPr>
      <w:r>
        <w:rPr>
          <w:b/>
          <w:bCs/>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12. </w:t>
      </w:r>
      <w:r>
        <w:rPr>
          <w:b/>
          <w:bCs/>
          <w:lang w:val="el" w:eastAsia="el"/>
        </w:rPr>
        <w:t>Την υπό στοιχεία Α.1222/2020 κοινή απόφαση του Υφυπουργού Οικονομικών και του Διοικητή της Α.Α.Δ.Ε.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 (Β’ 4274).</w:t>
      </w:r>
    </w:p>
    <w:p>
      <w:pPr>
        <w:pStyle w:val="PreambelText"/>
        <w:spacing w:before="240" w:after="240"/>
        <w:rPr>
          <w:lang w:val="el" w:eastAsia="el"/>
        </w:rPr>
      </w:pPr>
      <w:r>
        <w:rPr>
          <w:b/>
          <w:bCs/>
          <w:lang w:val="el" w:eastAsia="el"/>
        </w:rPr>
        <w:t xml:space="preserve">13. </w:t>
      </w:r>
      <w:r>
        <w:rPr>
          <w:b/>
          <w:bCs/>
          <w:lang w:val="el" w:eastAsia="el"/>
        </w:rPr>
        <w:t>Την υπό στοιχεία Δ6Α 1015213 ΕΞ 2013/28-1-2013 απόφαση του Υπουργού Οικονομικώνκαι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14.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15. </w:t>
      </w:r>
      <w:r>
        <w:rPr>
          <w:b/>
          <w:bCs/>
          <w:lang w:val="el" w:eastAsia="el"/>
        </w:rPr>
        <w:t>Την υπό στοιχεία A3121/19-8-2023 απόφαση του Γενικού Γραμματέα Πολιτικής Προστασίας για την κήρυξη σε κατάσταση Έκτακτης Ανάγκης Πολιτικής Προστασίας του Δήμου Αλεξανδρούπολης της Περιφερειακής Ενότητας Έβρου της Περιφέρειας Ανατολικής Μακεδονίας και Θράκης.</w:t>
      </w:r>
    </w:p>
    <w:p>
      <w:pPr>
        <w:pStyle w:val="PreambelText"/>
        <w:spacing w:before="240" w:after="240"/>
        <w:rPr>
          <w:lang w:val="el" w:eastAsia="el"/>
        </w:rPr>
      </w:pPr>
      <w:r>
        <w:rPr>
          <w:b/>
          <w:bCs/>
          <w:lang w:val="el" w:eastAsia="el"/>
        </w:rPr>
        <w:t xml:space="preserve">16. </w:t>
      </w:r>
      <w:r>
        <w:rPr>
          <w:b/>
          <w:bCs/>
          <w:lang w:val="el" w:eastAsia="el"/>
        </w:rPr>
        <w:t>Την υπό στοιχεία A3131/21-8-2023 απόφαση του Γενικού Γραμματέα Πολιτικής Προστασίας για την κήρυξη σε κατάσταση Έκτακτης Ανάγκης Πολιτικής Προστασίας της Δημοτικής Ενότητας Σώστου του Δήμου Ιάσμου της Περιφερειακής Ενότητας Ροδόπης της Περιφέρειας Ανατολικής Μακεδονίας &amp; Θράκης.</w:t>
      </w:r>
    </w:p>
    <w:p>
      <w:pPr>
        <w:pStyle w:val="PreambelText"/>
        <w:spacing w:before="240" w:after="240"/>
        <w:rPr>
          <w:lang w:val="el" w:eastAsia="el"/>
        </w:rPr>
      </w:pPr>
      <w:r>
        <w:rPr>
          <w:b/>
          <w:bCs/>
          <w:lang w:val="el" w:eastAsia="el"/>
        </w:rPr>
        <w:t xml:space="preserve">17. </w:t>
      </w:r>
      <w:r>
        <w:rPr>
          <w:b/>
          <w:bCs/>
          <w:lang w:val="el" w:eastAsia="el"/>
        </w:rPr>
        <w:t>Την υπό στοιχεία A3154/22-8-2023 απόφαση του Γενικού Γραμματέα Πολιτικής Προστασίας για την κήρυξη σε κατάσταση Έκτακτης Ανάγκης Πολιτικής Προστασίας των Δημοτικών Κοινοτήτων Διαλεκτού, Αβραμυλιάς και Νέου Ξεριά, της Δημοτικής Ενότητας Χρυσούπολης, του Δήμου Νέστου, της Περιφερειακής Ενότητας Καβάλας της Περιφέρειας Ανατολικής Μακεδονίας &amp; Θράκης.</w:t>
      </w:r>
    </w:p>
    <w:p>
      <w:pPr>
        <w:pStyle w:val="PreambelText"/>
        <w:spacing w:before="240" w:after="240"/>
        <w:rPr>
          <w:lang w:val="el" w:eastAsia="el"/>
        </w:rPr>
      </w:pPr>
      <w:r>
        <w:rPr>
          <w:b/>
          <w:bCs/>
          <w:lang w:val="el" w:eastAsia="el"/>
        </w:rPr>
        <w:t xml:space="preserve">18. </w:t>
      </w:r>
      <w:r>
        <w:rPr>
          <w:b/>
          <w:bCs/>
          <w:lang w:val="el" w:eastAsia="el"/>
        </w:rPr>
        <w:t>Την υπό στοιχεία A3234/23-8-2023 απόφαση του Γενικού Γραμματέα Πολιτικής Προστασίας για την κήρυξη σε κατάσταση Έκτακτης Ανάγκης Πολιτικής Προστασίας της Δημοτικής Ενότητας Νέας Αρτάκης, του Δήμου Χαλκιδαίων,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19. </w:t>
      </w:r>
      <w:r>
        <w:rPr>
          <w:b/>
          <w:bCs/>
          <w:lang w:val="el" w:eastAsia="el"/>
        </w:rPr>
        <w:t>Την υπό στοιχεία A3235/23-8-2023 απόφαση του Γενικού Γραμματέα Πολιτικής Προστασίας για την κήρυξη σε κατάσταση Έκτακτης Ανάγκης Πολιτικής Προστασίας της Δημοτικής Κοινότητας Αγίου Κοσμά, της Δημοτικής Ενότητας Ορεινού, του Δήμου Νέστου, της Περιφερειακής Ενότητας Καβάλας της Περιφέρειας Ανατολικής Μακεδονίας &amp; Θράκης.</w:t>
      </w:r>
    </w:p>
    <w:p>
      <w:pPr>
        <w:pStyle w:val="PreambelText"/>
        <w:spacing w:before="240" w:after="240"/>
        <w:rPr>
          <w:lang w:val="el" w:eastAsia="el"/>
        </w:rPr>
      </w:pPr>
      <w:r>
        <w:rPr>
          <w:b/>
          <w:bCs/>
          <w:lang w:val="el" w:eastAsia="el"/>
        </w:rPr>
        <w:t xml:space="preserve">20. </w:t>
      </w:r>
      <w:r>
        <w:rPr>
          <w:b/>
          <w:bCs/>
          <w:lang w:val="el" w:eastAsia="el"/>
        </w:rPr>
        <w:t>Την υπό στοιχεία A3320/24-8-2023 απόφαση του Γενικού Γραμματέα Πολιτικής Προστασίας για την κήρυξη σε κατάσταση Έκτακτης Ανάγκης Πολιτικής Προστασίας του Δήμου Φυλής, της Περιφερειακής Ενότητας Δυτικής Αττικής της Περιφέρειας Αττικής.</w:t>
      </w:r>
    </w:p>
    <w:p>
      <w:pPr>
        <w:pStyle w:val="PreambelText"/>
        <w:spacing w:before="240" w:after="240"/>
        <w:rPr>
          <w:lang w:val="el" w:eastAsia="el"/>
        </w:rPr>
      </w:pPr>
      <w:r>
        <w:rPr>
          <w:b/>
          <w:bCs/>
          <w:lang w:val="el" w:eastAsia="el"/>
        </w:rPr>
        <w:t xml:space="preserve">21. </w:t>
      </w:r>
      <w:r>
        <w:rPr>
          <w:b/>
          <w:bCs/>
          <w:lang w:val="el" w:eastAsia="el"/>
        </w:rPr>
        <w:t>Την υπό στοιχεία A3318/24-8-2023 απόφαση του Γενικού Γραμματέα Πολιτικής Προστασίας για την κήρυξη σε κατάσταση Έκτακτης Ανάγκης Πολιτικής Προστασίας των Δημοτικών Κοινοτήτων Γρατινής, Στυλαρίου και Σιδηράδων, της Δημοτικής Ενότητας Κομοτηνής, του Δήμου Κομοτηνής, της Περιφερειακής Ενότητας Ροδόπης της Περιφέρειας Ανατολικής Μακεδονίας &amp; Θράκης.</w:t>
      </w:r>
    </w:p>
    <w:p>
      <w:pPr>
        <w:pStyle w:val="PreambelText"/>
        <w:spacing w:before="240" w:after="240"/>
        <w:rPr>
          <w:lang w:val="el" w:eastAsia="el"/>
        </w:rPr>
      </w:pPr>
      <w:r>
        <w:rPr>
          <w:b/>
          <w:bCs/>
          <w:lang w:val="el" w:eastAsia="el"/>
        </w:rPr>
        <w:t xml:space="preserve">22. </w:t>
      </w:r>
      <w:r>
        <w:rPr>
          <w:b/>
          <w:bCs/>
          <w:lang w:val="el" w:eastAsia="el"/>
        </w:rPr>
        <w:t>Την ανάγκη εξυπηρέτησης και διευκόλυνσης για την υποβολή δηλώσεων και καταβολή φόρου από τους υπόχρεους που επλήγησαν λόγω των πυρκαγιών που εκδηλώθηκαν τον Αύγουστο 2023 στις ανωτέρω Περιφερειακές Ενότητες και των εκτεταμένων ζημιών που προκλήθηκαν από αυτές και απορρυθμίστηκε η οικονομική και κοινωνική ζωή τους</w:t>
      </w:r>
    </w:p>
    <w:p>
      <w:pPr>
        <w:pStyle w:val="PreambelText"/>
        <w:spacing w:before="240" w:after="240"/>
        <w:rPr>
          <w:lang w:val="el" w:eastAsia="el"/>
        </w:rPr>
      </w:pPr>
      <w:r>
        <w:rPr>
          <w:b/>
          <w:bCs/>
          <w:lang w:val="el" w:eastAsia="el"/>
        </w:rPr>
        <w:t xml:space="preserve">23.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Παράταση για ανακεφαλαιωτικούς πίνακες, δήλωση Φ.Π.Α., τελών χαρτοσήμου και λοιπών έμμεσων φόρων για τους υποκείμενους συγκεκριμένων περιφερειακών ενοτήτων.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Παρατείνεται μέχρι και την 29/9/2023 η προθεσμία υποβολής των ανακεφαλαιωτικών πινάκων, των οποίων η καταληκτική προθεσμία υποβολής τους είναι στις 26.8.2023 για υποκείμενους που έχουν την έδρα ή υποκατάστημα της επιχειρηματικής τους δραστηριότητας: α) στο Δήμο Αλεξανδρούπολης της Περιφερειακής Ενότητας Έβρου της Περιφέρειας Ανατολικής Μακεδονίας και Θράκης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 Δημοτική Ενότητα Σώστου του Δήμου Ιάσμου της Περιφερειακής Ενότητας Ροδόπης της Περιφέρειας Ανατολικής Μακεδονίας &amp; Θράκης,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Δημοτικές Κοινότητες Διαλεκτού, Αβραμυλιάς και Νέου Ξεριά, της Δημοτικής Ενότητας Χρυσούπολης, του Δήμου Νέστου, της Περιφερειακής Ενότητας Καβάλας της Περιφέρειας Ανατολικής Μακεδονίας &amp; Θράκης.</w:t>
      </w:r>
    </w:p>
    <w:p>
      <w:pPr>
        <w:pStyle w:val="StructureList1"/>
        <w:spacing w:before="120" w:after="0"/>
        <w:rPr>
          <w:lang w:val="el" w:eastAsia="el"/>
        </w:rPr>
      </w:pPr>
      <w:r>
        <w:rPr>
          <w:b/>
          <w:bCs/>
          <w:lang w:val="el" w:eastAsia="el"/>
        </w:rPr>
        <w:t>δ)</w:t>
      </w:r>
      <w:r>
        <w:rPr>
          <w:b/>
          <w:bCs/>
          <w:lang w:val="en" w:eastAsia="en"/>
        </w:rPr>
        <w:tab/>
      </w:r>
      <w:r>
        <w:rPr>
          <w:b/>
          <w:bCs/>
          <w:lang w:val="el" w:eastAsia="el"/>
        </w:rPr>
        <w:t>στη Δημοτική Ενότητα Νέας Αρτάκης, του Δήμου Χαλκιδαίων, της Περιφερειακής Ενότητας Εύβοιας της Περιφέρειας Στερεάς Ελλάδας,</w:t>
      </w:r>
    </w:p>
    <w:p>
      <w:pPr>
        <w:pStyle w:val="StructureList1"/>
        <w:spacing w:before="120" w:after="0"/>
        <w:rPr>
          <w:lang w:val="el" w:eastAsia="el"/>
        </w:rPr>
      </w:pPr>
      <w:r>
        <w:rPr>
          <w:b/>
          <w:bCs/>
          <w:lang w:val="el" w:eastAsia="el"/>
        </w:rPr>
        <w:t>ε)</w:t>
      </w:r>
      <w:r>
        <w:rPr>
          <w:b/>
          <w:bCs/>
          <w:lang w:val="en" w:eastAsia="en"/>
        </w:rPr>
        <w:tab/>
      </w:r>
      <w:r>
        <w:rPr>
          <w:b/>
          <w:bCs/>
          <w:lang w:val="el" w:eastAsia="el"/>
        </w:rPr>
        <w:t>στη Δημοτική Κοινότητα Αγίου Κοσμά, της Δημοτικής Ενότητας Ορεινού, του Δήμου Νέστου, της Περιφερειακής Ενότητας Καβάλας της Περιφέρειας Ανατολικής Μακεδονίας &amp; Θράκης, στ) στο Δήμο Φυλής, της Περιφερειακής Ενότητας Δυτικής Αττικής της Περιφέρειας Αττικής, ζ) στις Δημοτικές Κοινότητες Γρατινής, Στυλαρίου και Σιδηράδων, της Δημοτικής Ενότητας Κομοτηνής, του Δήμου Κομοτηνής, της Περιφερειακής Ενότητας Ροδόπης της Περιφέρειας Ανατολικής Μακεδονίας &amp; Θράκης.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Παρατείνονται μέχρι και την 29/9/2023 για τους υποκειμένους της παρ. 1 η προθεσμία υποβολής των δηλώσεων ΦΠΑ, των οποίων η καταληκτική προθεσμία υποβολής τους είναι στις 31.8.2023 και η προθεσμία καταβολής του φόρου που τυχόν προκύπτει από αυτές μέχρι και 29/9/2023. Η ιδία ημερομηνία (29/9/2023) είναι καταληκτική και για τις δύο δόσεις στην περίπτωση επιλογής καταβολής του οφειλόμενου ποσού σε δόσεις.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Παρατείνεται μέχρι και την 29/9/2023 για τους υποκειμένους της παρ. 1 η προθεσμία υποβολής δηλώσεων και απόδοσης των τελών χαρτοσήμου και των λοιπών εμμέσων φόρων, τελών και εισφορών υπέρ του Δημοσίου ή τρίτων που έχουν καταληκτική ημερομηνία από 19/8/2023 έως την 31/8/2023.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ανωτέρω δηλώσεις καθώς και οι ανακεφαλαιωτικοί πίνακες ενδοκοινοτικών συναλλαγών υποβάλλονται, σύμφωνα με τις ισχύουσες αποφάσεις.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Παράταση για δήλωση απόδοσης παρακρατούμενων φόρων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αρχικές δηλώσεις απόδοσης: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παρακρατούμενου φόρου στο εισόδημα από μισθωτή εργασία και συντάξεις και β) παρακρατούμενου φόρου των διατάξεων του άρθρου 64 και των περ. α' και γ' της παρ. 5 του άρθρου 69 του ν. 4172/2013,</w:t>
      </w:r>
    </w:p>
    <w:p>
      <w:pPr>
        <w:spacing w:before="240" w:after="240"/>
        <w:rPr>
          <w:lang w:val="el" w:eastAsia="el"/>
        </w:rPr>
      </w:pPr>
      <w:r>
        <w:rPr>
          <w:b/>
          <w:bCs/>
          <w:lang w:val="el" w:eastAsia="el"/>
        </w:rPr>
        <w:t>που έχουν καταληκτική ημερομηνία υποβολής την 31</w:t>
      </w:r>
      <w:r>
        <w:rPr>
          <w:b/>
          <w:bCs/>
          <w:sz w:val="30"/>
          <w:szCs w:val="30"/>
          <w:vertAlign w:val="superscript"/>
          <w:lang w:val="el" w:eastAsia="el"/>
        </w:rPr>
        <w:t>η</w:t>
      </w:r>
      <w:r>
        <w:rPr>
          <w:b/>
          <w:bCs/>
          <w:lang w:val="el" w:eastAsia="el"/>
        </w:rPr>
        <w:t xml:space="preserve"> Αυγούστου 2023 υποβάλλονται εμπρόθεσμα μέχρι και την 29/9/2023 για τους υπόχρεους υποβολής που έχουν την έδρα ή υποκατάστημα της επιχειρηματικής τους δραστηριότητας στις περιοχές της παρ. 1 του άρθρου 1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δηλώσεις υποβάλλονται ψηφιακά, σύμφωνα με τις ισχύουσες αποφάσεις.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Παράταση υποβολής δηλώσεων φόρου κληρονομιών, δωρεών, γονικών παροχών, κερδών από τυχερά παίγνια και μεταβίβασης ακινήτων</w:t>
      </w:r>
    </w:p>
    <w:p>
      <w:pPr>
        <w:spacing w:before="240" w:after="240"/>
        <w:rPr>
          <w:lang w:val="el" w:eastAsia="el"/>
        </w:rPr>
      </w:pPr>
      <w:r>
        <w:rPr>
          <w:b/>
          <w:bCs/>
          <w:lang w:val="el" w:eastAsia="el"/>
        </w:rPr>
        <w:t>Οι δηλώσεις των φυσικών και νομικών προσώπων και οντοτήτων, που έχουν την κύρια κατοικία ή κύρια εγκατάσταση (έδρα) στις περιοχές της παρ. 1 του άρθρου 1 της παρούσας, για την απόδοση φόρων κληρονομιών, δωρεών, γονικών παροχών, κερδών από τυχερά παίγνια και μεταβίβασης ακινήτων, που έχουν καταληκτική ημερομηνία από την 19/08/2023 υποβάλλονται εμπρόθεσμα, σε έντυπη μορφή είτε μέσω της εφαρμογής «Τα Αιτήματά μου», είτε με τη διαδικασία που καθορίζεται στην υπό στοιχεία Α. 1137/2020 (Β' 2423) απόφαση του Διοικητή της ΑΑΔΕ, όπως ισχύει μετά την Α. 1054/2022 (Β΄2154) απόφαση Διοικητή ΑΑΔΕ, μέχρι και την 29/9/2023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51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αριθμ.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10,16,17.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Διοικητού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Φορολογίας Κεφ. και Περιουσιολογίου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